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charts/chart4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AB" w:rsidRDefault="00833026" w:rsidP="00E01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Rectangle 1" o:spid="_x0000_s1028" style="position:absolute;left:0;text-align:left;margin-left:-85.05pt;margin-top:4.2pt;width:595.5pt;height:20.6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Rectangle 1;mso-fit-shape-to-text:t">
              <w:txbxContent>
                <w:p w:rsidR="007D16AB" w:rsidRDefault="007D16AB" w:rsidP="007D16A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 w:rsidR="003C232D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ВВОДНЫЕ ДАННЫЕ</w:t>
                  </w:r>
                </w:p>
              </w:txbxContent>
            </v:textbox>
          </v:rect>
        </w:pict>
      </w:r>
    </w:p>
    <w:p w:rsidR="007D16AB" w:rsidRDefault="007D16AB" w:rsidP="00E0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32D" w:rsidRPr="003C232D" w:rsidRDefault="003C232D" w:rsidP="003C232D">
      <w:pPr>
        <w:jc w:val="both"/>
        <w:rPr>
          <w:rFonts w:cstheme="minorHAnsi"/>
        </w:rPr>
      </w:pPr>
      <w:r w:rsidRPr="003C232D">
        <w:rPr>
          <w:rFonts w:cstheme="minorHAnsi"/>
          <w:b/>
          <w:bCs/>
          <w:color w:val="C00000"/>
        </w:rPr>
        <w:t>В</w:t>
      </w:r>
      <w:r w:rsidRPr="003C232D">
        <w:rPr>
          <w:rFonts w:cstheme="minorHAnsi"/>
          <w:color w:val="C00000"/>
        </w:rPr>
        <w:t xml:space="preserve"> </w:t>
      </w:r>
      <w:r w:rsidRPr="003C232D">
        <w:rPr>
          <w:rFonts w:cstheme="minorHAnsi"/>
        </w:rPr>
        <w:t xml:space="preserve">настоящем обзоре анализируются предложения о продаже бизнеса </w:t>
      </w:r>
      <w:r w:rsidRPr="003C232D">
        <w:rPr>
          <w:rFonts w:cstheme="minorHAnsi"/>
          <w:b/>
          <w:bCs/>
        </w:rPr>
        <w:t>стоимостью от 15 млн. рублей,  находящегося в России.</w:t>
      </w:r>
    </w:p>
    <w:p w:rsidR="003C232D" w:rsidRPr="003C232D" w:rsidRDefault="003C232D" w:rsidP="003C232D">
      <w:pPr>
        <w:jc w:val="both"/>
        <w:rPr>
          <w:rFonts w:cstheme="minorHAnsi"/>
        </w:rPr>
      </w:pPr>
      <w:r w:rsidRPr="003C232D">
        <w:rPr>
          <w:rFonts w:cstheme="minorHAnsi"/>
        </w:rPr>
        <w:t xml:space="preserve">Для целей анализа использовалась только находящаяся в открытом доступе информация о продаже бизнеса стоимостью от 15 млн. рублей. </w:t>
      </w:r>
    </w:p>
    <w:p w:rsidR="00377100" w:rsidRDefault="00833026" w:rsidP="00E01B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left:0;text-align:left;margin-left:-85.05pt;margin-top:18.4pt;width:595.5pt;height:20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29;mso-fit-shape-to-text:t">
              <w:txbxContent>
                <w:p w:rsidR="007D16AB" w:rsidRDefault="007D16AB" w:rsidP="007D16A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  ТЕНДЕНЦИИ НА РЫНКЕ КУПЛИ-ПРОДАЖИ БИЗНЕСА</w:t>
                  </w:r>
                </w:p>
              </w:txbxContent>
            </v:textbox>
          </v:rect>
        </w:pict>
      </w:r>
    </w:p>
    <w:p w:rsidR="007D16AB" w:rsidRPr="00E01BFB" w:rsidRDefault="007D16AB" w:rsidP="00E01B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100" w:rsidRDefault="00377100" w:rsidP="007D16AB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726A99" w:rsidRPr="00726A99" w:rsidRDefault="00726A99" w:rsidP="00726A99">
      <w:pPr>
        <w:jc w:val="center"/>
        <w:rPr>
          <w:rFonts w:cstheme="minorHAnsi"/>
          <w:b/>
          <w:bCs/>
          <w:color w:val="C00000"/>
          <w:sz w:val="28"/>
          <w:szCs w:val="28"/>
        </w:rPr>
      </w:pPr>
      <w:r w:rsidRPr="00726A99">
        <w:rPr>
          <w:rFonts w:cstheme="minorHAnsi"/>
          <w:b/>
          <w:bCs/>
          <w:color w:val="C00000"/>
          <w:sz w:val="28"/>
          <w:szCs w:val="28"/>
        </w:rPr>
        <w:t>Основные тенденции на рынке купли-продажи бизнеса в третьем квартале 2011 года</w:t>
      </w:r>
    </w:p>
    <w:p w:rsidR="00377100" w:rsidRPr="00377100" w:rsidRDefault="00377100" w:rsidP="004E349E">
      <w:pPr>
        <w:jc w:val="both"/>
        <w:rPr>
          <w:rFonts w:cstheme="minorHAnsi"/>
          <w:color w:val="C00000"/>
        </w:rPr>
      </w:pPr>
    </w:p>
    <w:p w:rsidR="00726A99" w:rsidRDefault="002C58A4" w:rsidP="00726A99">
      <w:pPr>
        <w:pStyle w:val="a6"/>
        <w:numPr>
          <w:ilvl w:val="0"/>
          <w:numId w:val="1"/>
        </w:numPr>
        <w:ind w:hanging="720"/>
        <w:jc w:val="both"/>
        <w:rPr>
          <w:rFonts w:cstheme="minorHAnsi"/>
        </w:rPr>
      </w:pPr>
      <w:r w:rsidRPr="00377100">
        <w:rPr>
          <w:rFonts w:cstheme="minorHAnsi"/>
          <w:u w:val="single"/>
        </w:rPr>
        <w:t>Сезонное снижение активности продавцов бизнеса</w:t>
      </w:r>
      <w:r w:rsidR="003D78EE">
        <w:rPr>
          <w:rFonts w:cstheme="minorHAnsi"/>
          <w:u w:val="single"/>
        </w:rPr>
        <w:t>.</w:t>
      </w:r>
      <w:r w:rsidRPr="00377100">
        <w:rPr>
          <w:rFonts w:cstheme="minorHAnsi"/>
        </w:rPr>
        <w:t xml:space="preserve"> </w:t>
      </w:r>
    </w:p>
    <w:p w:rsidR="003D78EE" w:rsidRPr="003D78EE" w:rsidRDefault="003D78EE" w:rsidP="003D78EE">
      <w:pPr>
        <w:pStyle w:val="a6"/>
        <w:jc w:val="both"/>
        <w:rPr>
          <w:rFonts w:cstheme="minorHAnsi"/>
        </w:rPr>
      </w:pPr>
    </w:p>
    <w:p w:rsidR="00377100" w:rsidRDefault="00726A99" w:rsidP="00726A99">
      <w:pPr>
        <w:pStyle w:val="a6"/>
        <w:numPr>
          <w:ilvl w:val="0"/>
          <w:numId w:val="1"/>
        </w:numPr>
        <w:ind w:left="709" w:hanging="709"/>
        <w:jc w:val="both"/>
        <w:rPr>
          <w:rFonts w:cstheme="minorHAnsi"/>
          <w:u w:val="single"/>
        </w:rPr>
      </w:pPr>
      <w:r w:rsidRPr="00726A99">
        <w:rPr>
          <w:rFonts w:cstheme="minorHAnsi"/>
          <w:u w:val="single"/>
        </w:rPr>
        <w:t>Налоговая нагрузка на бизнес</w:t>
      </w:r>
      <w:r>
        <w:rPr>
          <w:rFonts w:cstheme="minorHAnsi"/>
          <w:u w:val="single"/>
        </w:rPr>
        <w:t>.</w:t>
      </w:r>
    </w:p>
    <w:p w:rsidR="00726A99" w:rsidRPr="00726A99" w:rsidRDefault="00726A99" w:rsidP="00726A99">
      <w:pPr>
        <w:pStyle w:val="a6"/>
        <w:ind w:left="709"/>
        <w:jc w:val="both"/>
        <w:rPr>
          <w:rFonts w:cstheme="minorHAnsi"/>
          <w:u w:val="single"/>
        </w:rPr>
      </w:pPr>
    </w:p>
    <w:p w:rsidR="00674337" w:rsidRDefault="00726A99" w:rsidP="00726A99">
      <w:pPr>
        <w:pStyle w:val="a6"/>
        <w:numPr>
          <w:ilvl w:val="0"/>
          <w:numId w:val="1"/>
        </w:numPr>
        <w:ind w:left="709" w:hanging="720"/>
        <w:jc w:val="both"/>
        <w:rPr>
          <w:rFonts w:cstheme="minorHAnsi"/>
          <w:u w:val="single"/>
        </w:rPr>
      </w:pPr>
      <w:r w:rsidRPr="00726A99">
        <w:rPr>
          <w:rFonts w:cstheme="minorHAnsi"/>
          <w:u w:val="single"/>
        </w:rPr>
        <w:t>Ожидание стабильности в мировой экономике</w:t>
      </w:r>
      <w:r w:rsidR="003D78EE">
        <w:rPr>
          <w:rFonts w:cstheme="minorHAnsi"/>
          <w:u w:val="single"/>
        </w:rPr>
        <w:t>.</w:t>
      </w:r>
    </w:p>
    <w:p w:rsidR="003D78EE" w:rsidRPr="003D78EE" w:rsidRDefault="003D78EE" w:rsidP="003D78EE">
      <w:pPr>
        <w:pStyle w:val="a6"/>
        <w:rPr>
          <w:rFonts w:cstheme="minorHAnsi"/>
          <w:u w:val="single"/>
        </w:rPr>
      </w:pPr>
    </w:p>
    <w:p w:rsidR="003D78EE" w:rsidRDefault="003D78EE" w:rsidP="003D78EE">
      <w:pPr>
        <w:pStyle w:val="a6"/>
        <w:jc w:val="both"/>
        <w:rPr>
          <w:rFonts w:cstheme="minorHAnsi"/>
        </w:rPr>
      </w:pPr>
      <w:r w:rsidRPr="00726A99">
        <w:rPr>
          <w:rFonts w:cstheme="minorHAnsi"/>
        </w:rPr>
        <w:t xml:space="preserve">Снижение суммарного количества предложений о продаже бизнеса в диапазоне от 15 млн. руб. составило 24 % (ΙΙΙ квартал </w:t>
      </w:r>
      <w:proofErr w:type="gramStart"/>
      <w:r w:rsidRPr="00726A99">
        <w:rPr>
          <w:rFonts w:cstheme="minorHAnsi"/>
        </w:rPr>
        <w:t>ко</w:t>
      </w:r>
      <w:proofErr w:type="gramEnd"/>
      <w:r w:rsidRPr="00726A99">
        <w:rPr>
          <w:rFonts w:cstheme="minorHAnsi"/>
        </w:rPr>
        <w:t xml:space="preserve"> ΙΙ кварталу). </w:t>
      </w:r>
    </w:p>
    <w:p w:rsidR="003D78EE" w:rsidRDefault="003D78EE" w:rsidP="003D78EE">
      <w:pPr>
        <w:pStyle w:val="a6"/>
        <w:jc w:val="both"/>
        <w:rPr>
          <w:rFonts w:cstheme="minorHAnsi"/>
        </w:rPr>
      </w:pPr>
    </w:p>
    <w:p w:rsidR="003D78EE" w:rsidRPr="00726A99" w:rsidRDefault="003D78EE" w:rsidP="003D78EE">
      <w:pPr>
        <w:pStyle w:val="a6"/>
        <w:jc w:val="both"/>
        <w:rPr>
          <w:rFonts w:cstheme="minorHAnsi"/>
        </w:rPr>
      </w:pPr>
      <w:r w:rsidRPr="00726A99">
        <w:rPr>
          <w:rFonts w:cstheme="minorHAnsi"/>
        </w:rPr>
        <w:t xml:space="preserve">В стоимостном выражении суммарный объём заявок на продажу бизнеса в третьем квартале 2011 года снизился на 43% по сравнению со вторым кварталом 2011 года. </w:t>
      </w:r>
    </w:p>
    <w:p w:rsidR="003D78EE" w:rsidRDefault="003D78EE" w:rsidP="003D78EE">
      <w:pPr>
        <w:pStyle w:val="a6"/>
        <w:jc w:val="both"/>
        <w:rPr>
          <w:rFonts w:cstheme="minorHAnsi"/>
        </w:rPr>
      </w:pPr>
    </w:p>
    <w:p w:rsidR="003D78EE" w:rsidRPr="00726A99" w:rsidRDefault="003D78EE" w:rsidP="003D78EE">
      <w:pPr>
        <w:pStyle w:val="a6"/>
        <w:jc w:val="both"/>
        <w:rPr>
          <w:rFonts w:cstheme="minorHAnsi"/>
        </w:rPr>
      </w:pPr>
      <w:r w:rsidRPr="00726A99">
        <w:rPr>
          <w:rFonts w:cstheme="minorHAnsi"/>
        </w:rPr>
        <w:t xml:space="preserve">В третьем квартале отмечен лишь один объект стоимостью свыше 1 млрд. руб.  – фармацевтическая фабрика в Рязанской области стоимостью 1400 млн. руб. </w:t>
      </w:r>
    </w:p>
    <w:p w:rsidR="003D78EE" w:rsidRDefault="003D78EE" w:rsidP="003D78EE">
      <w:pPr>
        <w:pStyle w:val="a6"/>
        <w:ind w:left="709"/>
        <w:jc w:val="both"/>
        <w:rPr>
          <w:rFonts w:cstheme="minorHAnsi"/>
          <w:u w:val="single"/>
        </w:rPr>
      </w:pPr>
    </w:p>
    <w:p w:rsidR="00726A99" w:rsidRPr="00726A99" w:rsidRDefault="00726A99" w:rsidP="00726A99">
      <w:pPr>
        <w:pStyle w:val="a6"/>
        <w:ind w:left="709"/>
        <w:jc w:val="both"/>
        <w:rPr>
          <w:rFonts w:cstheme="minorHAnsi"/>
        </w:rPr>
      </w:pPr>
      <w:r w:rsidRPr="00726A99">
        <w:rPr>
          <w:rFonts w:cstheme="minorHAnsi"/>
        </w:rPr>
        <w:t>Соотношение долей в общем количестве предложений в разрезе федеральных округов изменилось незначительно.</w:t>
      </w:r>
    </w:p>
    <w:p w:rsidR="00726A99" w:rsidRPr="00726A99" w:rsidRDefault="00726A99" w:rsidP="00726A99">
      <w:pPr>
        <w:pStyle w:val="a6"/>
        <w:ind w:left="709"/>
        <w:jc w:val="both"/>
        <w:rPr>
          <w:rFonts w:cstheme="minorHAnsi"/>
          <w:u w:val="single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8A5" w:rsidRDefault="00AB28A5" w:rsidP="00B70C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16AB" w:rsidRDefault="00833026" w:rsidP="00B70C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pict>
          <v:rect id="_x0000_s1030" style="position:absolute;left:0;text-align:left;margin-left:-85.05pt;margin-top:11.7pt;width:595.5pt;height:20.6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0;mso-fit-shape-to-text:t">
              <w:txbxContent>
                <w:p w:rsidR="007D16AB" w:rsidRDefault="007D16AB" w:rsidP="007D16A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 w:rsidRPr="007D16AB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ОБЩАЯ  СИТУАЦИЯ  НА  РЫНКЕ  ПОКУПКИ И ПРОДА</w:t>
                  </w:r>
                  <w:r w:rsidR="00B70CA6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ЖИ  СРЕДНЕГО  БИЗНЕСА  В  ТРЕТЬЕМ КВАРТАЛЕ </w:t>
                  </w:r>
                  <w:r w:rsidRPr="007D16AB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2011 ГОДА</w:t>
                  </w:r>
                </w:p>
              </w:txbxContent>
            </v:textbox>
          </v:rect>
        </w:pict>
      </w:r>
    </w:p>
    <w:p w:rsidR="007D16AB" w:rsidRDefault="007D16AB" w:rsidP="00E01BFB">
      <w:pPr>
        <w:ind w:lef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0CA6" w:rsidRPr="00B70CA6" w:rsidRDefault="00B70CA6" w:rsidP="00B70CA6">
      <w:pPr>
        <w:ind w:left="-284"/>
        <w:jc w:val="both"/>
        <w:rPr>
          <w:rFonts w:cstheme="minorHAnsi"/>
        </w:rPr>
      </w:pPr>
      <w:r w:rsidRPr="00B70CA6">
        <w:rPr>
          <w:rFonts w:cstheme="minorHAnsi"/>
        </w:rPr>
        <w:t xml:space="preserve">В третьем квартале 2011 года совокупное количество предложений на продажу бизнеса снизилось на 33% и 24% по сравнению с первым и вторым кварталом текущего года соответственно. Снижение предложения во всех секторах экономики, прежде всего, связано с сезонным фактором. Наиболее низкая активность продавцов пришлась на август текущего года, совокупное предложение в котором оказалось ниже на 50% по сравнению с сентябрём, суммарное предложение которого вышло на уровень января 2011 года. В четвёртом квартале мы ожидаем рост активности продаж бизнеса.  </w:t>
      </w:r>
    </w:p>
    <w:p w:rsidR="00A95672" w:rsidRPr="00A95672" w:rsidRDefault="00A95672" w:rsidP="00A95672">
      <w:pPr>
        <w:ind w:left="-284"/>
        <w:jc w:val="center"/>
        <w:rPr>
          <w:color w:val="0070C0"/>
        </w:rPr>
      </w:pPr>
      <w:r w:rsidRPr="00A95672">
        <w:rPr>
          <w:b/>
          <w:bCs/>
          <w:color w:val="0070C0"/>
        </w:rPr>
        <w:t xml:space="preserve">Динамика предложений о продаже бизнеса </w:t>
      </w:r>
    </w:p>
    <w:p w:rsidR="002C58A4" w:rsidRDefault="0094595C" w:rsidP="002C58A4">
      <w:pPr>
        <w:ind w:left="-284"/>
        <w:jc w:val="center"/>
      </w:pPr>
      <w:r w:rsidRPr="0094595C">
        <w:rPr>
          <w:noProof/>
          <w:lang w:eastAsia="ru-RU"/>
        </w:rPr>
        <w:drawing>
          <wp:inline distT="0" distB="0" distL="0" distR="0">
            <wp:extent cx="5327154" cy="3168352"/>
            <wp:effectExtent l="0" t="0" r="0" b="0"/>
            <wp:docPr id="88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11A4" w:rsidRDefault="00DD11A4" w:rsidP="00E01BFB">
      <w:pPr>
        <w:rPr>
          <w:rFonts w:ascii="Times New Roman" w:hAnsi="Times New Roman" w:cs="Times New Roman"/>
        </w:rPr>
      </w:pPr>
    </w:p>
    <w:p w:rsidR="00B70CA6" w:rsidRPr="00B70CA6" w:rsidRDefault="00B70CA6" w:rsidP="00B70CA6">
      <w:pPr>
        <w:jc w:val="both"/>
        <w:rPr>
          <w:rFonts w:cstheme="minorHAnsi"/>
          <w:bCs/>
        </w:rPr>
      </w:pPr>
      <w:r w:rsidRPr="00B70CA6">
        <w:rPr>
          <w:rFonts w:cstheme="minorHAnsi"/>
          <w:bCs/>
        </w:rPr>
        <w:t xml:space="preserve">Нестабильность макроэкономических факторов в мировой экономике и приближающиеся выборы в России пока не оказывают существенного влияния на рынок купли-продажи готового бизнеса, продавцы и покупатели лишь наблюдают за происходящим.  </w:t>
      </w:r>
    </w:p>
    <w:p w:rsidR="004864F4" w:rsidRDefault="004864F4" w:rsidP="00A95672">
      <w:pPr>
        <w:rPr>
          <w:rFonts w:ascii="Times New Roman" w:hAnsi="Times New Roman" w:cs="Times New Roman"/>
          <w:b/>
          <w:bCs/>
        </w:rPr>
      </w:pPr>
    </w:p>
    <w:p w:rsidR="004864F4" w:rsidRDefault="004864F4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673369" w:rsidRDefault="00673369" w:rsidP="00A95672">
      <w:pPr>
        <w:rPr>
          <w:rFonts w:ascii="Times New Roman" w:hAnsi="Times New Roman" w:cs="Times New Roman"/>
          <w:b/>
          <w:bCs/>
        </w:rPr>
      </w:pPr>
    </w:p>
    <w:p w:rsidR="004864F4" w:rsidRDefault="004864F4" w:rsidP="00A95672">
      <w:pPr>
        <w:rPr>
          <w:rFonts w:ascii="Times New Roman" w:hAnsi="Times New Roman" w:cs="Times New Roman"/>
          <w:b/>
          <w:bCs/>
        </w:rPr>
      </w:pPr>
    </w:p>
    <w:p w:rsidR="00AB28A5" w:rsidRDefault="00AB28A5" w:rsidP="00A95672">
      <w:pPr>
        <w:rPr>
          <w:rFonts w:ascii="Times New Roman" w:hAnsi="Times New Roman" w:cs="Times New Roman"/>
          <w:b/>
          <w:bCs/>
        </w:rPr>
      </w:pPr>
    </w:p>
    <w:p w:rsidR="00A95672" w:rsidRPr="004E349E" w:rsidRDefault="00A95672" w:rsidP="004E349E">
      <w:pPr>
        <w:jc w:val="center"/>
        <w:rPr>
          <w:rFonts w:cstheme="minorHAnsi"/>
          <w:color w:val="0070C0"/>
        </w:rPr>
      </w:pPr>
      <w:r w:rsidRPr="004E349E">
        <w:rPr>
          <w:rFonts w:cstheme="minorHAnsi"/>
          <w:b/>
          <w:bCs/>
          <w:color w:val="0070C0"/>
        </w:rPr>
        <w:lastRenderedPageBreak/>
        <w:t>Количество предложений по отраслям</w:t>
      </w:r>
    </w:p>
    <w:tbl>
      <w:tblPr>
        <w:tblW w:w="7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9"/>
        <w:gridCol w:w="1417"/>
        <w:gridCol w:w="1276"/>
        <w:gridCol w:w="1280"/>
      </w:tblGrid>
      <w:tr w:rsidR="00B70CA6" w:rsidRPr="00B70CA6" w:rsidTr="00673369">
        <w:trPr>
          <w:trHeight w:val="20"/>
          <w:jc w:val="center"/>
        </w:trPr>
        <w:tc>
          <w:tcPr>
            <w:tcW w:w="3409" w:type="dxa"/>
            <w:vMerge w:val="restart"/>
            <w:shd w:val="clear" w:color="auto" w:fill="558ED5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Отрасли</w:t>
            </w:r>
          </w:p>
        </w:tc>
        <w:tc>
          <w:tcPr>
            <w:tcW w:w="3973" w:type="dxa"/>
            <w:gridSpan w:val="3"/>
            <w:shd w:val="clear" w:color="auto" w:fill="558ED5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Количество предложений, шт.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vMerge/>
            <w:vAlign w:val="center"/>
            <w:hideMark/>
          </w:tcPr>
          <w:p w:rsidR="00B70CA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558ED5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1-й кв. 2011</w:t>
            </w:r>
          </w:p>
        </w:tc>
        <w:tc>
          <w:tcPr>
            <w:tcW w:w="1276" w:type="dxa"/>
            <w:shd w:val="clear" w:color="auto" w:fill="558ED5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2-й кв. 2011</w:t>
            </w:r>
          </w:p>
        </w:tc>
        <w:tc>
          <w:tcPr>
            <w:tcW w:w="1280" w:type="dxa"/>
            <w:shd w:val="clear" w:color="auto" w:fill="558ED5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3-й кв. 2011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Деревообработка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Машиностроение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Пищевое производство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Производство металлоконструкций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Приборостроение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Производство мебели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Производство стройматериалов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Топливо и полезные ископаемые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Швейное производство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Производство электрооборудования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Металлургия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Сельское хозяйство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Транспорт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 xml:space="preserve">Строительство и </w:t>
            </w:r>
            <w:proofErr w:type="spellStart"/>
            <w:r w:rsidRPr="00B70CA6">
              <w:rPr>
                <w:rFonts w:cstheme="minorHAnsi"/>
                <w:sz w:val="20"/>
                <w:szCs w:val="20"/>
              </w:rPr>
              <w:t>девелопмент</w:t>
            </w:r>
            <w:proofErr w:type="spellEnd"/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Торговля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29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Услуги, отдых, здоровье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149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67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Общепит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Развлечения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23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IT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Финансовые компании</w:t>
            </w:r>
          </w:p>
        </w:tc>
        <w:tc>
          <w:tcPr>
            <w:tcW w:w="1417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DCE6F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СМИ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Арендный бизнес</w:t>
            </w:r>
            <w:r w:rsidRPr="00B70CA6">
              <w:rPr>
                <w:rStyle w:val="a9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280" w:type="dxa"/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sz w:val="20"/>
                <w:szCs w:val="20"/>
              </w:rPr>
              <w:t>43</w:t>
            </w:r>
          </w:p>
        </w:tc>
      </w:tr>
      <w:tr w:rsidR="00673369" w:rsidRPr="00B70CA6" w:rsidTr="00673369">
        <w:trPr>
          <w:trHeight w:val="20"/>
          <w:jc w:val="center"/>
        </w:trPr>
        <w:tc>
          <w:tcPr>
            <w:tcW w:w="3409" w:type="dxa"/>
            <w:shd w:val="clear" w:color="auto" w:fill="C00000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Суммарный объем предложений</w:t>
            </w:r>
          </w:p>
        </w:tc>
        <w:tc>
          <w:tcPr>
            <w:tcW w:w="1417" w:type="dxa"/>
            <w:shd w:val="clear" w:color="auto" w:fill="C00000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1276" w:type="dxa"/>
            <w:shd w:val="clear" w:color="auto" w:fill="C00000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280" w:type="dxa"/>
            <w:shd w:val="clear" w:color="auto" w:fill="C00000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833026" w:rsidRPr="00B70CA6" w:rsidRDefault="00B70CA6" w:rsidP="00B70CA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70CA6">
              <w:rPr>
                <w:rFonts w:cstheme="minorHAnsi"/>
                <w:b/>
                <w:bCs/>
                <w:sz w:val="20"/>
                <w:szCs w:val="20"/>
              </w:rPr>
              <w:t>469</w:t>
            </w:r>
          </w:p>
        </w:tc>
      </w:tr>
    </w:tbl>
    <w:p w:rsidR="00A95672" w:rsidRDefault="00A95672" w:rsidP="00E01BFB">
      <w:pPr>
        <w:rPr>
          <w:rFonts w:ascii="Times New Roman" w:hAnsi="Times New Roman" w:cs="Times New Roman"/>
        </w:rPr>
      </w:pPr>
    </w:p>
    <w:p w:rsidR="00673369" w:rsidRPr="00B70CA6" w:rsidRDefault="00673369" w:rsidP="00673369">
      <w:pPr>
        <w:jc w:val="both"/>
        <w:rPr>
          <w:rFonts w:cstheme="minorHAnsi"/>
          <w:bCs/>
        </w:rPr>
      </w:pPr>
      <w:r w:rsidRPr="00B70CA6">
        <w:rPr>
          <w:rFonts w:cstheme="minorHAnsi"/>
          <w:bCs/>
        </w:rPr>
        <w:t xml:space="preserve">В третьем квартале снижение предложения отмечено в большинстве рассматриваемых сегментов, наиболее значительное – в продажах деревообрабатывающих предприятий, гостиниц и баз отдыха. Увеличение предложения относительно первого и второго квартала отмечено в продажах строительных организаций разного профиля, что связано с приватизацией ряда государственных дорожно-строительных и дорожно-эксплуатационных компаний.     </w:t>
      </w:r>
    </w:p>
    <w:p w:rsidR="00673369" w:rsidRPr="00B70CA6" w:rsidRDefault="00673369" w:rsidP="00673369">
      <w:pPr>
        <w:jc w:val="both"/>
        <w:rPr>
          <w:rFonts w:cstheme="minorHAnsi"/>
          <w:bCs/>
        </w:rPr>
      </w:pPr>
      <w:r w:rsidRPr="00B70CA6">
        <w:rPr>
          <w:rFonts w:cstheme="minorHAnsi"/>
          <w:bCs/>
        </w:rPr>
        <w:t>В стоимостном выражении суммарное предложение снизилось на 50% и 43% по сравнению с первым и вторым кварталом 2011 года соответственно. Наибольшее абсолютное снижение суммарной стоимости отмечено в продажах предприятий ТЭК и объектов арендного бизнеса: торговых, складских и бизнес центров.</w:t>
      </w:r>
    </w:p>
    <w:p w:rsidR="004864F4" w:rsidRDefault="004864F4" w:rsidP="004864F4">
      <w:pPr>
        <w:jc w:val="both"/>
        <w:rPr>
          <w:bCs/>
        </w:rPr>
      </w:pPr>
    </w:p>
    <w:p w:rsidR="004864F4" w:rsidRDefault="004864F4" w:rsidP="004864F4">
      <w:pPr>
        <w:jc w:val="both"/>
        <w:rPr>
          <w:bCs/>
        </w:rPr>
      </w:pPr>
    </w:p>
    <w:p w:rsidR="004864F4" w:rsidRDefault="004864F4" w:rsidP="004864F4">
      <w:pPr>
        <w:jc w:val="both"/>
        <w:rPr>
          <w:bCs/>
        </w:rPr>
      </w:pPr>
    </w:p>
    <w:p w:rsidR="004864F4" w:rsidRDefault="004864F4" w:rsidP="004864F4">
      <w:pPr>
        <w:jc w:val="both"/>
        <w:rPr>
          <w:bCs/>
        </w:rPr>
      </w:pPr>
    </w:p>
    <w:p w:rsidR="00673369" w:rsidRDefault="00673369" w:rsidP="004864F4">
      <w:pPr>
        <w:jc w:val="both"/>
        <w:rPr>
          <w:bCs/>
        </w:rPr>
      </w:pPr>
    </w:p>
    <w:p w:rsidR="00AB28A5" w:rsidRDefault="00AB28A5" w:rsidP="009724CA">
      <w:pPr>
        <w:jc w:val="both"/>
        <w:rPr>
          <w:bCs/>
        </w:rPr>
      </w:pPr>
    </w:p>
    <w:p w:rsidR="009724CA" w:rsidRPr="009724CA" w:rsidRDefault="009724CA" w:rsidP="009724CA">
      <w:pPr>
        <w:jc w:val="both"/>
        <w:rPr>
          <w:bCs/>
        </w:rPr>
      </w:pPr>
      <w:r w:rsidRPr="009724CA">
        <w:rPr>
          <w:bCs/>
        </w:rPr>
        <w:lastRenderedPageBreak/>
        <w:t xml:space="preserve">Распределение заявок на продажу бизнеса в заданных ценовых диапазонах квартал к кварталу не претерпело значительных изменений. Преобладающее количество предложений о продаже бизнеса в рассматриваемых интервалах наблюдалось в низшем ценовом диапазоне (от 15 млн. руб. до 50 млн. руб.). В третьем квартале отмечен лишь один объект стоимостью свыше 1 млрд. руб.  – фармацевтическая фабрика в Рязанской области  стоимостью 1400 млн. руб. </w:t>
      </w:r>
    </w:p>
    <w:p w:rsidR="004864F4" w:rsidRPr="004864F4" w:rsidRDefault="004864F4" w:rsidP="004864F4">
      <w:pPr>
        <w:jc w:val="center"/>
        <w:rPr>
          <w:b/>
          <w:bCs/>
          <w:color w:val="0070C0"/>
        </w:rPr>
      </w:pPr>
      <w:r w:rsidRPr="004864F4">
        <w:rPr>
          <w:b/>
          <w:bCs/>
          <w:color w:val="0070C0"/>
        </w:rPr>
        <w:t>Динамика суммарной стоимости предложений о продаже бизнеса (млн. руб.)</w:t>
      </w:r>
    </w:p>
    <w:p w:rsidR="007D16AB" w:rsidRDefault="009724CA" w:rsidP="004864F4">
      <w:pPr>
        <w:ind w:left="-284" w:firstLine="284"/>
        <w:jc w:val="center"/>
        <w:rPr>
          <w:b/>
          <w:bCs/>
        </w:rPr>
      </w:pPr>
      <w:r w:rsidRPr="009724CA">
        <w:rPr>
          <w:b/>
          <w:bCs/>
          <w:noProof/>
          <w:lang w:eastAsia="ru-RU"/>
        </w:rPr>
        <w:drawing>
          <wp:inline distT="0" distB="0" distL="0" distR="0">
            <wp:extent cx="4536503" cy="2448272"/>
            <wp:effectExtent l="0" t="0" r="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D16AB" w:rsidRDefault="007D16AB" w:rsidP="003450A9">
      <w:pPr>
        <w:rPr>
          <w:b/>
          <w:bCs/>
        </w:rPr>
      </w:pPr>
    </w:p>
    <w:p w:rsidR="009724CA" w:rsidRDefault="00AB28A5" w:rsidP="009724CA">
      <w:pPr>
        <w:jc w:val="center"/>
        <w:rPr>
          <w:b/>
          <w:bCs/>
        </w:rPr>
      </w:pPr>
      <w:r>
        <w:rPr>
          <w:b/>
          <w:bCs/>
          <w:color w:val="0070C0"/>
        </w:rPr>
        <w:t xml:space="preserve">Количество предложений </w:t>
      </w:r>
      <w:r w:rsidR="009724CA" w:rsidRPr="004514FD">
        <w:rPr>
          <w:b/>
          <w:bCs/>
          <w:color w:val="0070C0"/>
        </w:rPr>
        <w:t>о продаже бизнеса, шт.</w:t>
      </w:r>
    </w:p>
    <w:p w:rsidR="009724CA" w:rsidRDefault="009724CA" w:rsidP="003450A9">
      <w:pPr>
        <w:rPr>
          <w:b/>
          <w:bCs/>
        </w:rPr>
      </w:pPr>
    </w:p>
    <w:p w:rsidR="004864F4" w:rsidRPr="004514FD" w:rsidRDefault="00275224" w:rsidP="009724CA">
      <w:pPr>
        <w:ind w:left="-567"/>
        <w:jc w:val="center"/>
        <w:rPr>
          <w:bCs/>
          <w:color w:val="0070C0"/>
        </w:rPr>
      </w:pPr>
      <w:r w:rsidRPr="00275224">
        <w:rPr>
          <w:bCs/>
          <w:noProof/>
          <w:color w:val="0070C0"/>
          <w:lang w:eastAsia="ru-RU"/>
        </w:rPr>
        <w:drawing>
          <wp:inline distT="0" distB="0" distL="0" distR="0">
            <wp:extent cx="6324600" cy="2400300"/>
            <wp:effectExtent l="19050" t="0" r="0" b="0"/>
            <wp:docPr id="18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64F4" w:rsidRPr="004864F4" w:rsidRDefault="004864F4" w:rsidP="004E349E">
      <w:pPr>
        <w:rPr>
          <w:bCs/>
        </w:rPr>
      </w:pPr>
    </w:p>
    <w:p w:rsidR="00A95672" w:rsidRDefault="00A95672" w:rsidP="004864F4">
      <w:pPr>
        <w:rPr>
          <w:b/>
          <w:bCs/>
          <w:color w:val="0070C0"/>
        </w:rPr>
      </w:pPr>
    </w:p>
    <w:p w:rsidR="00A95672" w:rsidRDefault="00A95672" w:rsidP="00DD11A4">
      <w:pPr>
        <w:jc w:val="center"/>
        <w:rPr>
          <w:b/>
          <w:bCs/>
          <w:color w:val="0070C0"/>
        </w:rPr>
      </w:pPr>
    </w:p>
    <w:p w:rsidR="0069632C" w:rsidRDefault="0069632C" w:rsidP="00DD11A4">
      <w:pPr>
        <w:jc w:val="center"/>
        <w:rPr>
          <w:b/>
          <w:bCs/>
          <w:color w:val="0070C0"/>
        </w:rPr>
      </w:pPr>
    </w:p>
    <w:p w:rsidR="0069632C" w:rsidRDefault="0069632C" w:rsidP="00DD11A4">
      <w:pPr>
        <w:jc w:val="center"/>
        <w:rPr>
          <w:b/>
          <w:bCs/>
          <w:color w:val="0070C0"/>
        </w:rPr>
      </w:pPr>
    </w:p>
    <w:p w:rsidR="0069632C" w:rsidRDefault="0069632C" w:rsidP="004E349E">
      <w:pPr>
        <w:jc w:val="center"/>
        <w:rPr>
          <w:bCs/>
        </w:rPr>
      </w:pPr>
    </w:p>
    <w:p w:rsidR="0069632C" w:rsidRPr="0069632C" w:rsidRDefault="0069632C" w:rsidP="0069632C">
      <w:pPr>
        <w:jc w:val="both"/>
        <w:rPr>
          <w:bCs/>
        </w:rPr>
      </w:pPr>
      <w:r w:rsidRPr="0069632C">
        <w:rPr>
          <w:bCs/>
        </w:rPr>
        <w:lastRenderedPageBreak/>
        <w:t>Видимое снижение доли в совокупном объёме предложений отмечено в продажах предприятий деревообрабатывающей промышленности (на 2,8 п.п.), гостиниц и баз отдыха (на 6,4 п.п.), арендного бизнеса (торговые, складские и бизнес центры) (на 2,2 п.п.), увеличение доли – в пищевой промышленности (на 6,3 п.п.).</w:t>
      </w:r>
    </w:p>
    <w:p w:rsidR="0069632C" w:rsidRDefault="0069632C" w:rsidP="004E349E">
      <w:pPr>
        <w:jc w:val="center"/>
        <w:rPr>
          <w:bCs/>
        </w:rPr>
      </w:pPr>
    </w:p>
    <w:p w:rsidR="004514FD" w:rsidRPr="004514FD" w:rsidRDefault="004514FD" w:rsidP="004E349E">
      <w:pPr>
        <w:jc w:val="center"/>
        <w:rPr>
          <w:b/>
          <w:bCs/>
          <w:color w:val="0070C0"/>
        </w:rPr>
      </w:pPr>
      <w:r w:rsidRPr="004514FD">
        <w:rPr>
          <w:b/>
          <w:bCs/>
          <w:color w:val="0070C0"/>
        </w:rPr>
        <w:t>Распределение предложений  о продаже бизнеса в</w:t>
      </w:r>
      <w:r w:rsidR="00E53DF3">
        <w:rPr>
          <w:b/>
          <w:bCs/>
          <w:color w:val="0070C0"/>
        </w:rPr>
        <w:t xml:space="preserve">о втором квартале </w:t>
      </w:r>
      <w:r w:rsidRPr="004514FD">
        <w:rPr>
          <w:b/>
          <w:bCs/>
          <w:color w:val="0070C0"/>
        </w:rPr>
        <w:t xml:space="preserve"> 2011 г.</w:t>
      </w:r>
    </w:p>
    <w:p w:rsidR="00A95672" w:rsidRDefault="00E53DF3" w:rsidP="004E349E">
      <w:pPr>
        <w:jc w:val="center"/>
        <w:rPr>
          <w:b/>
          <w:bCs/>
          <w:color w:val="0070C0"/>
        </w:rPr>
      </w:pPr>
      <w:r w:rsidRPr="00E53DF3">
        <w:rPr>
          <w:b/>
          <w:bCs/>
          <w:noProof/>
          <w:color w:val="0070C0"/>
          <w:lang w:eastAsia="ru-RU"/>
        </w:rPr>
        <w:drawing>
          <wp:inline distT="0" distB="0" distL="0" distR="0">
            <wp:extent cx="4211960" cy="3600400"/>
            <wp:effectExtent l="19050" t="0" r="17140" b="5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14FD" w:rsidRDefault="004514FD" w:rsidP="004E349E">
      <w:pPr>
        <w:jc w:val="center"/>
        <w:rPr>
          <w:b/>
          <w:bCs/>
          <w:color w:val="C00000"/>
        </w:rPr>
      </w:pPr>
      <w:r w:rsidRPr="004514FD">
        <w:rPr>
          <w:b/>
          <w:bCs/>
          <w:color w:val="C00000"/>
        </w:rPr>
        <w:t xml:space="preserve">Распределение предложений  о продаже бизнеса в </w:t>
      </w:r>
      <w:r w:rsidR="00E53DF3">
        <w:rPr>
          <w:b/>
          <w:bCs/>
          <w:color w:val="C00000"/>
        </w:rPr>
        <w:t>третьем квартале</w:t>
      </w:r>
      <w:r w:rsidRPr="004514FD">
        <w:rPr>
          <w:b/>
          <w:bCs/>
          <w:color w:val="C00000"/>
        </w:rPr>
        <w:t xml:space="preserve"> 2011 г.</w:t>
      </w:r>
    </w:p>
    <w:p w:rsidR="00AB28A5" w:rsidRDefault="00AB28A5" w:rsidP="004E349E">
      <w:pPr>
        <w:jc w:val="center"/>
        <w:rPr>
          <w:b/>
          <w:bCs/>
          <w:color w:val="C00000"/>
        </w:rPr>
      </w:pPr>
    </w:p>
    <w:p w:rsidR="00DD11A4" w:rsidRPr="004514FD" w:rsidRDefault="00AF7213" w:rsidP="004E349E">
      <w:pPr>
        <w:jc w:val="center"/>
        <w:rPr>
          <w:b/>
          <w:bCs/>
          <w:color w:val="C00000"/>
        </w:rPr>
      </w:pPr>
      <w:r w:rsidRPr="00AF7213">
        <w:rPr>
          <w:b/>
          <w:bCs/>
          <w:noProof/>
          <w:color w:val="C00000"/>
          <w:lang w:eastAsia="ru-RU"/>
        </w:rPr>
        <w:drawing>
          <wp:inline distT="0" distB="0" distL="0" distR="0">
            <wp:extent cx="4392488" cy="3744416"/>
            <wp:effectExtent l="0" t="0" r="0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11A4" w:rsidRDefault="00833026" w:rsidP="003450A9">
      <w:r>
        <w:rPr>
          <w:noProof/>
          <w:lang w:eastAsia="ru-RU"/>
        </w:rPr>
        <w:lastRenderedPageBreak/>
        <w:pict>
          <v:rect id="_x0000_s1031" style="position:absolute;margin-left:-85.05pt;margin-top:-9.95pt;width:595.5pt;height:20.6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1;mso-fit-shape-to-text:t">
              <w:txbxContent>
                <w:p w:rsidR="00DD11A4" w:rsidRDefault="00DD11A4" w:rsidP="00DD11A4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 w:rsidRPr="00DD11A4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СРЕДНЯЯ СТОИМОСТЬ  БИЗНЕСОВ</w:t>
                  </w:r>
                </w:p>
              </w:txbxContent>
            </v:textbox>
          </v:rect>
        </w:pict>
      </w:r>
    </w:p>
    <w:p w:rsidR="004E349E" w:rsidRDefault="004E349E" w:rsidP="004514FD">
      <w:pPr>
        <w:jc w:val="both"/>
      </w:pPr>
    </w:p>
    <w:p w:rsidR="0076234D" w:rsidRPr="0076234D" w:rsidRDefault="0076234D" w:rsidP="0076234D">
      <w:pPr>
        <w:jc w:val="both"/>
      </w:pPr>
      <w:r w:rsidRPr="0076234D">
        <w:t xml:space="preserve">Средняя стоимость бизнеса по различным отраслям не претерпела каких-то значительных изменений квартал к кварталу. Значительное изменение данного параметра связано с наличием крупных предложений в секторе, отнесенных к определённому периоду. </w:t>
      </w:r>
    </w:p>
    <w:p w:rsidR="004E349E" w:rsidRDefault="004E349E" w:rsidP="00D3261A">
      <w:pPr>
        <w:jc w:val="center"/>
        <w:rPr>
          <w:b/>
          <w:bCs/>
          <w:color w:val="0070C0"/>
        </w:rPr>
      </w:pPr>
    </w:p>
    <w:p w:rsidR="003450A9" w:rsidRPr="00D3261A" w:rsidRDefault="003450A9" w:rsidP="00D3261A">
      <w:pPr>
        <w:jc w:val="center"/>
        <w:rPr>
          <w:color w:val="0070C0"/>
        </w:rPr>
      </w:pPr>
      <w:r w:rsidRPr="00D3261A">
        <w:rPr>
          <w:b/>
          <w:bCs/>
          <w:color w:val="0070C0"/>
        </w:rPr>
        <w:t>Ср</w:t>
      </w:r>
      <w:r w:rsidR="004514FD">
        <w:rPr>
          <w:b/>
          <w:bCs/>
          <w:color w:val="0070C0"/>
        </w:rPr>
        <w:t>едняя стоимость бизнесов в</w:t>
      </w:r>
      <w:r w:rsidR="0076234D">
        <w:rPr>
          <w:b/>
          <w:bCs/>
          <w:color w:val="0070C0"/>
        </w:rPr>
        <w:t>о втором квартале</w:t>
      </w:r>
      <w:r w:rsidR="004514FD">
        <w:rPr>
          <w:b/>
          <w:bCs/>
          <w:color w:val="0070C0"/>
        </w:rPr>
        <w:t xml:space="preserve"> </w:t>
      </w:r>
      <w:r w:rsidRPr="00D3261A">
        <w:rPr>
          <w:b/>
          <w:bCs/>
          <w:color w:val="0070C0"/>
        </w:rPr>
        <w:t>2011 г., млн. руб.</w:t>
      </w:r>
    </w:p>
    <w:p w:rsidR="003450A9" w:rsidRDefault="0076234D" w:rsidP="00D3261A">
      <w:pPr>
        <w:jc w:val="center"/>
      </w:pPr>
      <w:r w:rsidRPr="0076234D">
        <w:rPr>
          <w:noProof/>
          <w:lang w:eastAsia="ru-RU"/>
        </w:rPr>
        <w:drawing>
          <wp:inline distT="0" distB="0" distL="0" distR="0">
            <wp:extent cx="4104456" cy="4536504"/>
            <wp:effectExtent l="0" t="0" r="0" b="0"/>
            <wp:docPr id="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450A9" w:rsidRDefault="003450A9" w:rsidP="00E01BFB"/>
    <w:p w:rsidR="00DD11A4" w:rsidRDefault="00DD11A4" w:rsidP="003450A9">
      <w:pPr>
        <w:rPr>
          <w:b/>
          <w:bCs/>
        </w:rPr>
      </w:pPr>
    </w:p>
    <w:p w:rsidR="00DD11A4" w:rsidRDefault="00DD11A4" w:rsidP="003450A9">
      <w:pPr>
        <w:rPr>
          <w:b/>
          <w:bCs/>
        </w:rPr>
      </w:pPr>
    </w:p>
    <w:p w:rsidR="00DD11A4" w:rsidRDefault="00DD11A4" w:rsidP="003450A9">
      <w:pPr>
        <w:rPr>
          <w:b/>
          <w:bCs/>
        </w:rPr>
      </w:pPr>
    </w:p>
    <w:p w:rsidR="00DD11A4" w:rsidRDefault="00DD11A4" w:rsidP="003450A9">
      <w:pPr>
        <w:rPr>
          <w:b/>
          <w:bCs/>
        </w:rPr>
      </w:pPr>
    </w:p>
    <w:p w:rsidR="00DD11A4" w:rsidRDefault="00DD11A4" w:rsidP="003450A9">
      <w:pPr>
        <w:rPr>
          <w:b/>
          <w:bCs/>
        </w:rPr>
      </w:pPr>
    </w:p>
    <w:p w:rsidR="00DD11A4" w:rsidRDefault="00DD11A4" w:rsidP="003450A9">
      <w:pPr>
        <w:rPr>
          <w:b/>
          <w:bCs/>
        </w:rPr>
      </w:pPr>
    </w:p>
    <w:p w:rsidR="004E349E" w:rsidRDefault="004E349E" w:rsidP="003450A9">
      <w:pPr>
        <w:rPr>
          <w:b/>
          <w:bCs/>
        </w:rPr>
      </w:pPr>
    </w:p>
    <w:p w:rsidR="00AB28A5" w:rsidRDefault="00AB28A5" w:rsidP="003450A9">
      <w:pPr>
        <w:rPr>
          <w:b/>
          <w:bCs/>
        </w:rPr>
      </w:pPr>
    </w:p>
    <w:p w:rsidR="00AB28A5" w:rsidRDefault="00AB28A5" w:rsidP="003450A9">
      <w:pPr>
        <w:rPr>
          <w:b/>
          <w:bCs/>
        </w:rPr>
      </w:pPr>
    </w:p>
    <w:p w:rsidR="00AB28A5" w:rsidRDefault="00AB28A5" w:rsidP="003450A9">
      <w:pPr>
        <w:rPr>
          <w:b/>
          <w:bCs/>
        </w:rPr>
      </w:pPr>
    </w:p>
    <w:p w:rsidR="003450A9" w:rsidRPr="00D3261A" w:rsidRDefault="003450A9" w:rsidP="00D3261A">
      <w:pPr>
        <w:jc w:val="center"/>
        <w:rPr>
          <w:color w:val="C00000"/>
        </w:rPr>
      </w:pPr>
      <w:r w:rsidRPr="00D3261A">
        <w:rPr>
          <w:b/>
          <w:bCs/>
          <w:color w:val="C00000"/>
        </w:rPr>
        <w:t>Сре</w:t>
      </w:r>
      <w:r w:rsidR="004514FD">
        <w:rPr>
          <w:b/>
          <w:bCs/>
          <w:color w:val="C00000"/>
        </w:rPr>
        <w:t xml:space="preserve">дняя стоимость бизнесов в </w:t>
      </w:r>
      <w:r w:rsidR="0076234D">
        <w:rPr>
          <w:b/>
          <w:bCs/>
          <w:color w:val="C00000"/>
        </w:rPr>
        <w:t>третьем квартале</w:t>
      </w:r>
      <w:r w:rsidRPr="00D3261A">
        <w:rPr>
          <w:b/>
          <w:bCs/>
          <w:color w:val="C00000"/>
        </w:rPr>
        <w:t xml:space="preserve"> 2011 г., млн. руб.</w:t>
      </w:r>
    </w:p>
    <w:p w:rsidR="003450A9" w:rsidRDefault="0076234D" w:rsidP="00D3261A">
      <w:pPr>
        <w:jc w:val="center"/>
      </w:pPr>
      <w:r w:rsidRPr="0076234D">
        <w:rPr>
          <w:noProof/>
          <w:lang w:eastAsia="ru-RU"/>
        </w:rPr>
        <w:drawing>
          <wp:inline distT="0" distB="0" distL="0" distR="0">
            <wp:extent cx="4320479" cy="4608511"/>
            <wp:effectExtent l="19050" t="0" r="0" b="0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514FD" w:rsidRDefault="004514FD" w:rsidP="00D3261A">
      <w:pPr>
        <w:jc w:val="center"/>
      </w:pPr>
    </w:p>
    <w:p w:rsidR="003450A9" w:rsidRDefault="003450A9" w:rsidP="00E01BFB"/>
    <w:p w:rsidR="003450A9" w:rsidRDefault="003450A9" w:rsidP="00E01BFB"/>
    <w:p w:rsidR="00DD11A4" w:rsidRDefault="00DD11A4" w:rsidP="00E01BFB"/>
    <w:p w:rsidR="00DD11A4" w:rsidRDefault="00DD11A4" w:rsidP="00E01BFB"/>
    <w:p w:rsidR="00DD11A4" w:rsidRDefault="00DD11A4" w:rsidP="00E01BFB"/>
    <w:p w:rsidR="00DD11A4" w:rsidRDefault="00DD11A4" w:rsidP="00E01BFB"/>
    <w:p w:rsidR="00DD11A4" w:rsidRDefault="00DD11A4" w:rsidP="00E01BFB"/>
    <w:p w:rsidR="00DD11A4" w:rsidRDefault="00DD11A4" w:rsidP="00E01BFB"/>
    <w:p w:rsidR="00DD11A4" w:rsidRDefault="00DD11A4" w:rsidP="00E01BFB"/>
    <w:p w:rsidR="00DD11A4" w:rsidRDefault="00DD11A4" w:rsidP="00E01BFB"/>
    <w:p w:rsidR="004514FD" w:rsidRDefault="004514FD" w:rsidP="00E01BFB"/>
    <w:p w:rsidR="00DD11A4" w:rsidRDefault="00833026" w:rsidP="00E01BFB">
      <w:r>
        <w:rPr>
          <w:noProof/>
          <w:lang w:eastAsia="ru-RU"/>
        </w:rPr>
        <w:lastRenderedPageBreak/>
        <w:pict>
          <v:rect id="_x0000_s1032" style="position:absolute;margin-left:-86.55pt;margin-top:2.05pt;width:599.25pt;height:20.6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2;mso-fit-shape-to-text:t">
              <w:txbxContent>
                <w:p w:rsidR="00DD11A4" w:rsidRDefault="00DD11A4" w:rsidP="00DD11A4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 w:rsidRPr="00DD11A4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РАСПРЕДЕЛЕНИЕ ПРЕДЛОЖЕНИЙ О ПРОДАЖЕ БИЗНЕСА ПО ФЕДЕРАЛЬНЫМ ОКРУГАМ</w:t>
                  </w:r>
                </w:p>
              </w:txbxContent>
            </v:textbox>
          </v:rect>
        </w:pict>
      </w:r>
    </w:p>
    <w:p w:rsidR="00275224" w:rsidRPr="00275224" w:rsidRDefault="00275224" w:rsidP="00514072">
      <w:pPr>
        <w:jc w:val="both"/>
      </w:pPr>
      <w:r w:rsidRPr="00275224">
        <w:t xml:space="preserve">Основная доля продаваемого бизнеса в России (40,5% в 3-м кв. 2011 г.) сконцентрирована в Центральном федеральном округе, более половины которого приходится на Москву и Московскую область. В третьем квартале текущего года второе место по количеству бизнеса на продажу занимает Приволжский федеральный округ, потеснивший Южный федеральный округ, занимавший второе место по итогам 1-го и 2-го квартала 2011 года. </w:t>
      </w:r>
    </w:p>
    <w:p w:rsidR="002C1DF6" w:rsidRDefault="002C1DF6" w:rsidP="00AB28A5">
      <w:pPr>
        <w:spacing w:after="0" w:line="240" w:lineRule="auto"/>
        <w:jc w:val="center"/>
      </w:pPr>
      <w:r w:rsidRPr="00D3261A">
        <w:rPr>
          <w:b/>
          <w:bCs/>
          <w:color w:val="0070C0"/>
        </w:rPr>
        <w:t>Распределение предложений о продаже бизнеса</w:t>
      </w:r>
      <w:r w:rsidR="004E349E">
        <w:t xml:space="preserve"> </w:t>
      </w:r>
      <w:r w:rsidRPr="00D3261A">
        <w:rPr>
          <w:b/>
          <w:bCs/>
          <w:color w:val="0070C0"/>
        </w:rPr>
        <w:t>по</w:t>
      </w:r>
      <w:r w:rsidRPr="00D3261A">
        <w:rPr>
          <w:color w:val="0070C0"/>
        </w:rPr>
        <w:t xml:space="preserve"> </w:t>
      </w:r>
      <w:r w:rsidR="004E349E">
        <w:rPr>
          <w:b/>
          <w:bCs/>
          <w:color w:val="0070C0"/>
        </w:rPr>
        <w:t>федеральным округам в</w:t>
      </w:r>
      <w:r w:rsidR="00275224">
        <w:rPr>
          <w:b/>
          <w:bCs/>
          <w:color w:val="0070C0"/>
        </w:rPr>
        <w:t>о втором квартале</w:t>
      </w:r>
      <w:r w:rsidR="004E349E">
        <w:rPr>
          <w:b/>
          <w:bCs/>
          <w:color w:val="0070C0"/>
        </w:rPr>
        <w:t xml:space="preserve"> </w:t>
      </w:r>
      <w:r w:rsidRPr="00D3261A">
        <w:rPr>
          <w:b/>
          <w:bCs/>
          <w:color w:val="0070C0"/>
        </w:rPr>
        <w:t>2011 г.</w:t>
      </w:r>
    </w:p>
    <w:p w:rsidR="004E349E" w:rsidRDefault="00275224" w:rsidP="004E349E">
      <w:pPr>
        <w:jc w:val="center"/>
        <w:rPr>
          <w:b/>
          <w:bCs/>
          <w:color w:val="C00000"/>
        </w:rPr>
      </w:pPr>
      <w:r w:rsidRPr="00275224">
        <w:rPr>
          <w:b/>
          <w:bCs/>
          <w:noProof/>
          <w:color w:val="C00000"/>
          <w:lang w:eastAsia="ru-RU"/>
        </w:rPr>
        <w:drawing>
          <wp:inline distT="0" distB="0" distL="0" distR="0">
            <wp:extent cx="4608512" cy="3672408"/>
            <wp:effectExtent l="19050" t="0" r="20638" b="4242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450A9" w:rsidRPr="004E349E" w:rsidRDefault="003450A9" w:rsidP="00AB28A5">
      <w:pPr>
        <w:spacing w:after="0" w:line="240" w:lineRule="auto"/>
        <w:jc w:val="center"/>
      </w:pPr>
      <w:r w:rsidRPr="00DD11A4">
        <w:rPr>
          <w:b/>
          <w:bCs/>
          <w:color w:val="C00000"/>
        </w:rPr>
        <w:t>Распределение предложений о продаже бизнеса</w:t>
      </w:r>
      <w:r w:rsidR="004E349E">
        <w:t xml:space="preserve"> </w:t>
      </w:r>
      <w:r w:rsidRPr="00DD11A4">
        <w:rPr>
          <w:b/>
          <w:bCs/>
          <w:color w:val="C00000"/>
        </w:rPr>
        <w:t>по</w:t>
      </w:r>
      <w:r w:rsidRPr="00DD11A4">
        <w:rPr>
          <w:color w:val="C00000"/>
        </w:rPr>
        <w:t xml:space="preserve"> </w:t>
      </w:r>
      <w:r w:rsidR="004E349E">
        <w:rPr>
          <w:b/>
          <w:bCs/>
          <w:color w:val="C00000"/>
        </w:rPr>
        <w:t xml:space="preserve">федеральным округам в  </w:t>
      </w:r>
      <w:r w:rsidR="00275224">
        <w:rPr>
          <w:b/>
          <w:bCs/>
          <w:color w:val="C00000"/>
        </w:rPr>
        <w:t>третьем квартале</w:t>
      </w:r>
      <w:r w:rsidRPr="00DD11A4">
        <w:rPr>
          <w:b/>
          <w:bCs/>
          <w:color w:val="C00000"/>
        </w:rPr>
        <w:t xml:space="preserve"> 2011 г.</w:t>
      </w:r>
    </w:p>
    <w:p w:rsidR="002C1DF6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  <w:r w:rsidRPr="00514072">
        <w:rPr>
          <w:b/>
          <w:bCs/>
          <w:noProof/>
          <w:color w:val="C00000"/>
          <w:lang w:eastAsia="ru-RU"/>
        </w:rPr>
        <w:drawing>
          <wp:inline distT="0" distB="0" distL="0" distR="0">
            <wp:extent cx="4896544" cy="3600400"/>
            <wp:effectExtent l="0" t="0" r="0" b="0"/>
            <wp:docPr id="2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Pr="00514072" w:rsidRDefault="00514072" w:rsidP="00514072">
      <w:pPr>
        <w:spacing w:after="0" w:line="240" w:lineRule="auto"/>
        <w:jc w:val="center"/>
        <w:rPr>
          <w:b/>
          <w:bCs/>
          <w:color w:val="0070C0"/>
        </w:rPr>
      </w:pPr>
      <w:r w:rsidRPr="00514072">
        <w:rPr>
          <w:b/>
          <w:bCs/>
          <w:color w:val="0070C0"/>
        </w:rPr>
        <w:t xml:space="preserve">Количество предложений по округам </w:t>
      </w: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76"/>
        <w:gridCol w:w="1619"/>
        <w:gridCol w:w="1559"/>
        <w:gridCol w:w="1451"/>
      </w:tblGrid>
      <w:tr w:rsidR="00514072" w:rsidRPr="00514072" w:rsidTr="00514072">
        <w:trPr>
          <w:trHeight w:val="20"/>
          <w:jc w:val="center"/>
        </w:trPr>
        <w:tc>
          <w:tcPr>
            <w:tcW w:w="3876" w:type="dxa"/>
            <w:vMerge w:val="restart"/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Федеральные округа</w:t>
            </w:r>
          </w:p>
        </w:tc>
        <w:tc>
          <w:tcPr>
            <w:tcW w:w="4629" w:type="dxa"/>
            <w:gridSpan w:val="3"/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Количество предложений, шт.</w:t>
            </w:r>
          </w:p>
        </w:tc>
      </w:tr>
      <w:tr w:rsidR="00514072" w:rsidRPr="00514072" w:rsidTr="00514072">
        <w:trPr>
          <w:trHeight w:val="20"/>
          <w:jc w:val="center"/>
        </w:trPr>
        <w:tc>
          <w:tcPr>
            <w:tcW w:w="3876" w:type="dxa"/>
            <w:vMerge/>
            <w:vAlign w:val="center"/>
            <w:hideMark/>
          </w:tcPr>
          <w:p w:rsidR="00514072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619" w:type="dxa"/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1-й кв. 2011</w:t>
            </w:r>
            <w:r w:rsidRPr="00514072"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2-й кв. 2011</w:t>
            </w:r>
            <w:r w:rsidRPr="00514072">
              <w:rPr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0070C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3-й кв. 2011</w:t>
            </w:r>
            <w:r w:rsidRPr="00514072">
              <w:rPr>
                <w:bCs/>
              </w:rPr>
              <w:t xml:space="preserve"> </w:t>
            </w:r>
          </w:p>
        </w:tc>
      </w:tr>
      <w:tr w:rsidR="00B6609E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Центральный федеральный округ</w:t>
            </w:r>
          </w:p>
        </w:tc>
        <w:tc>
          <w:tcPr>
            <w:tcW w:w="161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269 </w:t>
            </w:r>
          </w:p>
        </w:tc>
        <w:tc>
          <w:tcPr>
            <w:tcW w:w="155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232 </w:t>
            </w:r>
          </w:p>
        </w:tc>
        <w:tc>
          <w:tcPr>
            <w:tcW w:w="1451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190 </w:t>
            </w:r>
          </w:p>
        </w:tc>
      </w:tr>
      <w:tr w:rsidR="00514072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Северо-Западный федеральный округ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59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63 </w:t>
            </w:r>
          </w:p>
        </w:tc>
        <w:tc>
          <w:tcPr>
            <w:tcW w:w="14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46 </w:t>
            </w:r>
          </w:p>
        </w:tc>
      </w:tr>
      <w:tr w:rsidR="00B6609E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Приволжский федеральный округ</w:t>
            </w:r>
          </w:p>
        </w:tc>
        <w:tc>
          <w:tcPr>
            <w:tcW w:w="161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118 </w:t>
            </w:r>
          </w:p>
        </w:tc>
        <w:tc>
          <w:tcPr>
            <w:tcW w:w="155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98 </w:t>
            </w:r>
          </w:p>
        </w:tc>
        <w:tc>
          <w:tcPr>
            <w:tcW w:w="1451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72 </w:t>
            </w:r>
          </w:p>
        </w:tc>
      </w:tr>
      <w:tr w:rsidR="00514072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Южный федеральный округ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125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116 </w:t>
            </w:r>
          </w:p>
        </w:tc>
        <w:tc>
          <w:tcPr>
            <w:tcW w:w="14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64 </w:t>
            </w:r>
          </w:p>
        </w:tc>
      </w:tr>
      <w:tr w:rsidR="00B6609E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Уральский федеральный округ</w:t>
            </w:r>
          </w:p>
        </w:tc>
        <w:tc>
          <w:tcPr>
            <w:tcW w:w="161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52 </w:t>
            </w:r>
          </w:p>
        </w:tc>
        <w:tc>
          <w:tcPr>
            <w:tcW w:w="155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63 </w:t>
            </w:r>
          </w:p>
        </w:tc>
        <w:tc>
          <w:tcPr>
            <w:tcW w:w="1451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55 </w:t>
            </w:r>
          </w:p>
        </w:tc>
      </w:tr>
      <w:tr w:rsidR="00514072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Сибирский федеральный округ</w:t>
            </w:r>
          </w:p>
        </w:tc>
        <w:tc>
          <w:tcPr>
            <w:tcW w:w="161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69 </w:t>
            </w:r>
          </w:p>
        </w:tc>
        <w:tc>
          <w:tcPr>
            <w:tcW w:w="15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39 </w:t>
            </w:r>
          </w:p>
        </w:tc>
        <w:tc>
          <w:tcPr>
            <w:tcW w:w="14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35 </w:t>
            </w:r>
          </w:p>
        </w:tc>
      </w:tr>
      <w:tr w:rsidR="00B6609E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rPr>
                <w:bCs/>
              </w:rPr>
            </w:pPr>
            <w:r w:rsidRPr="00514072">
              <w:rPr>
                <w:bCs/>
              </w:rPr>
              <w:t>Дальневосточный федеральный округ</w:t>
            </w:r>
          </w:p>
        </w:tc>
        <w:tc>
          <w:tcPr>
            <w:tcW w:w="161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>6</w:t>
            </w:r>
          </w:p>
        </w:tc>
        <w:tc>
          <w:tcPr>
            <w:tcW w:w="1559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>4</w:t>
            </w:r>
          </w:p>
        </w:tc>
        <w:tc>
          <w:tcPr>
            <w:tcW w:w="1451" w:type="dxa"/>
            <w:shd w:val="clear" w:color="auto" w:fill="DBEE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Cs/>
              </w:rPr>
              <w:t xml:space="preserve">7 </w:t>
            </w:r>
          </w:p>
        </w:tc>
      </w:tr>
      <w:tr w:rsidR="00B6609E" w:rsidRPr="00514072" w:rsidTr="00514072">
        <w:trPr>
          <w:trHeight w:val="20"/>
          <w:jc w:val="center"/>
        </w:trPr>
        <w:tc>
          <w:tcPr>
            <w:tcW w:w="3876" w:type="dxa"/>
            <w:shd w:val="clear" w:color="auto" w:fill="C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Общее количество предложений</w:t>
            </w:r>
            <w:r w:rsidRPr="00514072">
              <w:rPr>
                <w:bCs/>
              </w:rPr>
              <w:t xml:space="preserve"> </w:t>
            </w:r>
          </w:p>
        </w:tc>
        <w:tc>
          <w:tcPr>
            <w:tcW w:w="1619" w:type="dxa"/>
            <w:shd w:val="clear" w:color="auto" w:fill="C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698+2</w:t>
            </w:r>
            <w:r w:rsidRPr="00514072">
              <w:rPr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C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>615</w:t>
            </w:r>
            <w:r w:rsidRPr="00514072">
              <w:rPr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C000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3026" w:rsidRPr="00514072" w:rsidRDefault="00514072" w:rsidP="00514072">
            <w:pPr>
              <w:spacing w:after="0" w:line="240" w:lineRule="auto"/>
              <w:jc w:val="center"/>
              <w:rPr>
                <w:bCs/>
              </w:rPr>
            </w:pPr>
            <w:r w:rsidRPr="00514072">
              <w:rPr>
                <w:b/>
                <w:bCs/>
              </w:rPr>
              <w:t xml:space="preserve">469 </w:t>
            </w:r>
          </w:p>
        </w:tc>
      </w:tr>
    </w:tbl>
    <w:p w:rsidR="00514072" w:rsidRPr="00514072" w:rsidRDefault="00514072" w:rsidP="002C1DF6">
      <w:pPr>
        <w:spacing w:after="0" w:line="240" w:lineRule="auto"/>
        <w:jc w:val="center"/>
        <w:rPr>
          <w:bCs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Pr="00514072" w:rsidRDefault="00514072" w:rsidP="00514072">
      <w:pPr>
        <w:jc w:val="both"/>
        <w:rPr>
          <w:bCs/>
        </w:rPr>
      </w:pPr>
      <w:r w:rsidRPr="00514072">
        <w:rPr>
          <w:bCs/>
        </w:rPr>
        <w:t xml:space="preserve">Соотношение долей в общем количестве предложений в разрезе федеральных округов изменилось незначительно. Тем не менее, доля центрального федерального округа квартал к кварталу в общем количестве предложений выросла на 2,8 п.п. Доля же Южного федерального округа в ΙΙΙ квартале 2011 года снизилась на 5,3 п.п. по сравнению </w:t>
      </w:r>
      <w:proofErr w:type="gramStart"/>
      <w:r w:rsidRPr="00514072">
        <w:rPr>
          <w:bCs/>
        </w:rPr>
        <w:t>со</w:t>
      </w:r>
      <w:proofErr w:type="gramEnd"/>
      <w:r w:rsidRPr="00514072">
        <w:rPr>
          <w:bCs/>
        </w:rPr>
        <w:t xml:space="preserve"> ΙΙ кварталом 2011 года.</w:t>
      </w:r>
    </w:p>
    <w:p w:rsidR="00514072" w:rsidRDefault="00514072" w:rsidP="00514072">
      <w:pPr>
        <w:spacing w:after="0" w:line="240" w:lineRule="auto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D346D4" w:rsidRDefault="00D346D4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Default="00833026" w:rsidP="00F44425">
      <w:pPr>
        <w:spacing w:after="0" w:line="240" w:lineRule="auto"/>
        <w:rPr>
          <w:b/>
          <w:bCs/>
          <w:color w:val="C00000"/>
        </w:rPr>
      </w:pPr>
      <w:r>
        <w:rPr>
          <w:b/>
          <w:bCs/>
          <w:noProof/>
          <w:color w:val="C00000"/>
          <w:lang w:eastAsia="ru-RU"/>
        </w:rPr>
        <w:lastRenderedPageBreak/>
        <w:pict>
          <v:rect id="_x0000_s1035" style="position:absolute;margin-left:-88.8pt;margin-top:-6.6pt;width:599.25pt;height:20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5;mso-fit-shape-to-text:t">
              <w:txbxContent>
                <w:p w:rsidR="00F44425" w:rsidRDefault="00F44425" w:rsidP="00F44425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ЦЕНТРАЛЬНЫЙ ФЕДЕРАЛЬНЫЙ ОКРУГ</w:t>
                  </w:r>
                </w:p>
              </w:txbxContent>
            </v:textbox>
          </v:rect>
        </w:pict>
      </w:r>
    </w:p>
    <w:p w:rsidR="00514072" w:rsidRDefault="00514072" w:rsidP="002C1DF6">
      <w:pPr>
        <w:spacing w:after="0" w:line="240" w:lineRule="auto"/>
        <w:jc w:val="center"/>
        <w:rPr>
          <w:b/>
          <w:bCs/>
          <w:color w:val="C00000"/>
        </w:rPr>
      </w:pPr>
    </w:p>
    <w:p w:rsidR="00514072" w:rsidRPr="00DD11A4" w:rsidRDefault="00514072" w:rsidP="00CC244B">
      <w:pPr>
        <w:spacing w:after="0" w:line="240" w:lineRule="auto"/>
        <w:jc w:val="both"/>
        <w:rPr>
          <w:b/>
          <w:bCs/>
          <w:color w:val="C00000"/>
        </w:rPr>
      </w:pPr>
    </w:p>
    <w:p w:rsidR="00CC244B" w:rsidRPr="00CC244B" w:rsidRDefault="00CC244B" w:rsidP="00CC244B">
      <w:pPr>
        <w:jc w:val="both"/>
      </w:pPr>
      <w:r w:rsidRPr="00CC244B">
        <w:t xml:space="preserve">В третьем квартале 2011 года в Центральном федеральном округе, как и по России в целом, наблюдается сезонное снижение активности продавцов бизнеса. Так снижение суммарного предложения на продажу бизнеса в третьем квартале 2011 года составило 29% и 18% по сравнению с первым и вторым кварталом 2011 года соответственно. Наиболее заметное снижение отмечено в продажах предприятий общественного питания, производства строительных материалов, гостиничном бизнесе. Доля предложений Москвы и Московской области в Центральном федеральном округе квартал к кварталу изменилась незначительно. </w:t>
      </w: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Динамика предложений о продаже бизнеса</w:t>
      </w:r>
    </w:p>
    <w:p w:rsidR="00CC244B" w:rsidRDefault="00CC244B" w:rsidP="00CC244B">
      <w:pPr>
        <w:jc w:val="center"/>
      </w:pPr>
      <w:r w:rsidRPr="00CC244B">
        <w:rPr>
          <w:noProof/>
          <w:lang w:eastAsia="ru-RU"/>
        </w:rPr>
        <w:drawing>
          <wp:inline distT="0" distB="0" distL="0" distR="0">
            <wp:extent cx="4680520" cy="2448271"/>
            <wp:effectExtent l="0" t="0" r="0" b="0"/>
            <wp:docPr id="5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C244B" w:rsidRPr="00CC244B" w:rsidRDefault="00CC244B" w:rsidP="00CC244B">
      <w:pPr>
        <w:jc w:val="both"/>
      </w:pPr>
      <w:r w:rsidRPr="00CC244B">
        <w:t xml:space="preserve">Суммарная стоимость предложений на продажу бизнеса снизилась на 34% и 20% по сравнению с первым и вторым кварталом 2011 года соответственно. </w:t>
      </w:r>
    </w:p>
    <w:p w:rsidR="00CC244B" w:rsidRPr="00395C0F" w:rsidRDefault="00CC244B" w:rsidP="00CC244B">
      <w:pPr>
        <w:jc w:val="center"/>
        <w:rPr>
          <w:color w:val="C00000"/>
        </w:rPr>
      </w:pPr>
      <w:r w:rsidRPr="00395C0F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CC244B" w:rsidP="00CC244B">
      <w:pPr>
        <w:jc w:val="center"/>
      </w:pPr>
      <w:r w:rsidRPr="00CC244B">
        <w:rPr>
          <w:noProof/>
          <w:lang w:eastAsia="ru-RU"/>
        </w:rPr>
        <w:drawing>
          <wp:inline distT="0" distB="0" distL="0" distR="0">
            <wp:extent cx="4536503" cy="2822029"/>
            <wp:effectExtent l="0" t="0" r="0" b="0"/>
            <wp:docPr id="5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C244B" w:rsidRDefault="00CC244B" w:rsidP="00CC244B"/>
    <w:p w:rsidR="00CC244B" w:rsidRDefault="00CC244B" w:rsidP="00CC244B"/>
    <w:p w:rsidR="00CC244B" w:rsidRDefault="00CC244B" w:rsidP="00CC244B"/>
    <w:p w:rsidR="00D346D4" w:rsidRDefault="00D346D4" w:rsidP="0095328D">
      <w:pPr>
        <w:jc w:val="both"/>
      </w:pPr>
    </w:p>
    <w:p w:rsidR="0095328D" w:rsidRPr="0095328D" w:rsidRDefault="0095328D" w:rsidP="0095328D">
      <w:pPr>
        <w:jc w:val="both"/>
      </w:pPr>
      <w:r w:rsidRPr="0095328D">
        <w:t xml:space="preserve">В третьем квартале текущего года доля заявок на продажу бизнеса в Москве и Московской области в низшем ценовом диапазоне (от 15 млн. руб. до 50 млн. руб.) увеличилась с 53,2% до 58% квартал к кварталу. В ценовом диапазоне от 101 млн. руб. до 500 млн. руб. отмечается обратная ситуация -  снижение доли на 5,3 п.п. </w:t>
      </w: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Количество предложений  о продаже бизнеса в Москве и Московской области, шт.</w:t>
      </w:r>
    </w:p>
    <w:p w:rsidR="00CC244B" w:rsidRDefault="00E749FF" w:rsidP="00CC244B">
      <w:pPr>
        <w:jc w:val="center"/>
      </w:pPr>
      <w:r w:rsidRPr="00E749FF">
        <w:rPr>
          <w:noProof/>
          <w:lang w:eastAsia="ru-RU"/>
        </w:rPr>
        <w:drawing>
          <wp:inline distT="0" distB="0" distL="0" distR="0">
            <wp:extent cx="5616624" cy="2520280"/>
            <wp:effectExtent l="19050" t="0" r="0" b="0"/>
            <wp:docPr id="5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B05A5" w:rsidRDefault="004B05A5" w:rsidP="004B05A5">
      <w:pPr>
        <w:jc w:val="both"/>
      </w:pPr>
    </w:p>
    <w:p w:rsidR="004B05A5" w:rsidRDefault="004B05A5" w:rsidP="004B05A5">
      <w:pPr>
        <w:jc w:val="both"/>
      </w:pPr>
    </w:p>
    <w:p w:rsidR="004B05A5" w:rsidRPr="004B05A5" w:rsidRDefault="004B05A5" w:rsidP="004B05A5">
      <w:pPr>
        <w:jc w:val="both"/>
      </w:pPr>
      <w:r w:rsidRPr="004B05A5">
        <w:t xml:space="preserve">В Центральном федеральном округе (без Москвы/МО) доля заявок на продажу бизнеса в низшем ценовом диапазоне (от 15 млн. руб. до 50 млн. руб.) изменилась незначительно. Отмечено снижение доли предложения в ценовом диапазоне от 101 млн. руб. до 500 млн. руб. на 8,4 п.п. за счёт увеличения продаж в верхних ценовых диапазонах в совокупной доле 5,1 п.п. </w:t>
      </w:r>
    </w:p>
    <w:p w:rsidR="004B05A5" w:rsidRDefault="004B05A5" w:rsidP="00CC244B">
      <w:pPr>
        <w:jc w:val="center"/>
        <w:rPr>
          <w:b/>
          <w:bCs/>
          <w:color w:val="0070C0"/>
        </w:rPr>
      </w:pP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Количество предложений  о продаже бизнеса в ЦФО (без Москвы/МО)</w:t>
      </w:r>
      <w:proofErr w:type="gramStart"/>
      <w:r w:rsidRPr="00395C0F">
        <w:rPr>
          <w:b/>
          <w:bCs/>
          <w:color w:val="0070C0"/>
        </w:rPr>
        <w:t xml:space="preserve"> ,</w:t>
      </w:r>
      <w:proofErr w:type="gramEnd"/>
      <w:r w:rsidRPr="00395C0F">
        <w:rPr>
          <w:b/>
          <w:bCs/>
          <w:color w:val="0070C0"/>
        </w:rPr>
        <w:t xml:space="preserve"> шт.</w:t>
      </w:r>
    </w:p>
    <w:p w:rsidR="00CC244B" w:rsidRDefault="004B05A5" w:rsidP="00CC244B">
      <w:pPr>
        <w:jc w:val="center"/>
      </w:pPr>
      <w:r w:rsidRPr="004B05A5">
        <w:rPr>
          <w:noProof/>
          <w:lang w:eastAsia="ru-RU"/>
        </w:rPr>
        <w:drawing>
          <wp:inline distT="0" distB="0" distL="0" distR="0">
            <wp:extent cx="5832648" cy="2664296"/>
            <wp:effectExtent l="19050" t="0" r="0" b="0"/>
            <wp:docPr id="5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C244B" w:rsidRDefault="00CC244B" w:rsidP="00CC244B"/>
    <w:p w:rsidR="00CC244B" w:rsidRDefault="00833026" w:rsidP="00CC244B">
      <w:r>
        <w:rPr>
          <w:noProof/>
          <w:lang w:eastAsia="ru-RU"/>
        </w:rPr>
        <w:lastRenderedPageBreak/>
        <w:pict>
          <v:rect id="_x0000_s1036" style="position:absolute;margin-left:-85.8pt;margin-top:-9.9pt;width:599.25pt;height:20.6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6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СЕВЕРО-ЗАПАДНЫЙ ФЕДЕРАЛЬНЫЙ ОКРУГ</w:t>
                  </w:r>
                </w:p>
              </w:txbxContent>
            </v:textbox>
          </v:rect>
        </w:pict>
      </w:r>
    </w:p>
    <w:p w:rsidR="00C646A4" w:rsidRDefault="00C646A4" w:rsidP="00C646A4">
      <w:pPr>
        <w:jc w:val="both"/>
      </w:pPr>
      <w:r w:rsidRPr="00C646A4">
        <w:t xml:space="preserve">В Северо-Западном федеральном округе также отмечено снижение уровня продажи бизнеса, которое квартал к кварталу составило 27%. Основная доля всех заявок приходится на г. Санкт-Петербург и Ленинградскую область. Снижение числа заявок отмечено в сегментах продаж  гостиниц, кафе и ресторанов. </w:t>
      </w:r>
    </w:p>
    <w:p w:rsidR="00D346D4" w:rsidRPr="00C646A4" w:rsidRDefault="00D346D4" w:rsidP="00C646A4">
      <w:pPr>
        <w:jc w:val="both"/>
      </w:pP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Динамика предложений о продаже бизнеса</w:t>
      </w:r>
    </w:p>
    <w:p w:rsidR="00C646A4" w:rsidRDefault="00C646A4" w:rsidP="00D346D4">
      <w:pPr>
        <w:jc w:val="center"/>
      </w:pPr>
      <w:r w:rsidRPr="00C646A4">
        <w:rPr>
          <w:noProof/>
          <w:lang w:eastAsia="ru-RU"/>
        </w:rPr>
        <w:drawing>
          <wp:inline distT="0" distB="0" distL="0" distR="0">
            <wp:extent cx="4896543" cy="2304255"/>
            <wp:effectExtent l="0" t="0" r="0" b="0"/>
            <wp:docPr id="5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Распределение предложений  о продаже бизнеса в</w:t>
      </w:r>
      <w:r w:rsidR="00C646A4">
        <w:rPr>
          <w:b/>
          <w:bCs/>
          <w:color w:val="0070C0"/>
        </w:rPr>
        <w:t>о</w:t>
      </w:r>
      <w:r w:rsidRPr="00395C0F">
        <w:rPr>
          <w:b/>
          <w:bCs/>
          <w:color w:val="0070C0"/>
        </w:rPr>
        <w:t xml:space="preserve"> </w:t>
      </w:r>
      <w:r w:rsidR="00C646A4">
        <w:rPr>
          <w:b/>
          <w:bCs/>
          <w:color w:val="0070C0"/>
        </w:rPr>
        <w:t>второ</w:t>
      </w:r>
      <w:r w:rsidRPr="00395C0F">
        <w:rPr>
          <w:b/>
          <w:bCs/>
          <w:color w:val="0070C0"/>
        </w:rPr>
        <w:t>м квартале 2011 г.</w:t>
      </w:r>
    </w:p>
    <w:p w:rsidR="00CC244B" w:rsidRDefault="00C646A4" w:rsidP="00CC244B">
      <w:pPr>
        <w:jc w:val="center"/>
      </w:pPr>
      <w:r w:rsidRPr="00C646A4">
        <w:rPr>
          <w:noProof/>
          <w:lang w:eastAsia="ru-RU"/>
        </w:rPr>
        <w:drawing>
          <wp:inline distT="0" distB="0" distL="0" distR="0">
            <wp:extent cx="3669580" cy="2917874"/>
            <wp:effectExtent l="0" t="0" r="0" b="0"/>
            <wp:docPr id="57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346D4" w:rsidRDefault="00D346D4" w:rsidP="00D346D4">
      <w:pPr>
        <w:rPr>
          <w:b/>
          <w:bCs/>
          <w:color w:val="C00000"/>
        </w:rPr>
      </w:pPr>
    </w:p>
    <w:p w:rsidR="00D346D4" w:rsidRDefault="00D346D4" w:rsidP="00D346D4">
      <w:pPr>
        <w:rPr>
          <w:b/>
          <w:bCs/>
          <w:color w:val="C00000"/>
        </w:rPr>
      </w:pPr>
    </w:p>
    <w:p w:rsidR="00D346D4" w:rsidRDefault="00D346D4" w:rsidP="00D346D4">
      <w:pPr>
        <w:rPr>
          <w:b/>
          <w:bCs/>
          <w:color w:val="C00000"/>
        </w:rPr>
      </w:pPr>
    </w:p>
    <w:p w:rsidR="00D346D4" w:rsidRDefault="00D346D4" w:rsidP="00D346D4">
      <w:pPr>
        <w:rPr>
          <w:b/>
          <w:bCs/>
          <w:color w:val="C00000"/>
        </w:rPr>
      </w:pPr>
    </w:p>
    <w:p w:rsidR="00D346D4" w:rsidRDefault="00D346D4" w:rsidP="00D346D4">
      <w:pPr>
        <w:rPr>
          <w:b/>
          <w:bCs/>
          <w:color w:val="C00000"/>
        </w:rPr>
      </w:pPr>
    </w:p>
    <w:p w:rsidR="00CC244B" w:rsidRDefault="00CC244B" w:rsidP="00D346D4">
      <w:pPr>
        <w:jc w:val="center"/>
        <w:rPr>
          <w:b/>
          <w:bCs/>
          <w:color w:val="C00000"/>
        </w:rPr>
      </w:pPr>
      <w:r w:rsidRPr="00395C0F">
        <w:rPr>
          <w:b/>
          <w:bCs/>
          <w:color w:val="C00000"/>
        </w:rPr>
        <w:t>Распределение предлож</w:t>
      </w:r>
      <w:r w:rsidR="00C646A4">
        <w:rPr>
          <w:b/>
          <w:bCs/>
          <w:color w:val="C00000"/>
        </w:rPr>
        <w:t>ений  о продаже бизнеса в третьем</w:t>
      </w:r>
      <w:r w:rsidRPr="00395C0F">
        <w:rPr>
          <w:b/>
          <w:bCs/>
          <w:color w:val="C00000"/>
        </w:rPr>
        <w:t xml:space="preserve"> квартале 2011 г.</w:t>
      </w:r>
    </w:p>
    <w:p w:rsidR="00D346D4" w:rsidRPr="00395C0F" w:rsidRDefault="00D346D4" w:rsidP="00D346D4">
      <w:pPr>
        <w:jc w:val="center"/>
        <w:rPr>
          <w:color w:val="C00000"/>
        </w:rPr>
      </w:pPr>
    </w:p>
    <w:p w:rsidR="00CC244B" w:rsidRDefault="00B21BB7" w:rsidP="00CC244B">
      <w:pPr>
        <w:jc w:val="center"/>
      </w:pPr>
      <w:r w:rsidRPr="00B21BB7">
        <w:rPr>
          <w:noProof/>
          <w:lang w:eastAsia="ru-RU"/>
        </w:rPr>
        <w:drawing>
          <wp:inline distT="0" distB="0" distL="0" distR="0">
            <wp:extent cx="4464496" cy="2880320"/>
            <wp:effectExtent l="0" t="0" r="0" b="0"/>
            <wp:docPr id="5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C244B" w:rsidRDefault="00CC244B" w:rsidP="00CC244B">
      <w:pPr>
        <w:jc w:val="both"/>
      </w:pPr>
    </w:p>
    <w:p w:rsidR="00B21BB7" w:rsidRPr="00B21BB7" w:rsidRDefault="00B21BB7" w:rsidP="00B21BB7">
      <w:pPr>
        <w:jc w:val="both"/>
      </w:pPr>
      <w:r w:rsidRPr="00B21BB7">
        <w:t xml:space="preserve">В третьем квартале 2011 года наблюдается значительное снижение суммарной стоимости выставленного на продажу бизнеса на 71% и 69% по сравнению с первым и вторым кварталом соответственно. Данное снижение связано </w:t>
      </w:r>
      <w:r w:rsidRPr="00B21BB7">
        <w:rPr>
          <w:lang w:val="en-US"/>
        </w:rPr>
        <w:t>c</w:t>
      </w:r>
      <w:r w:rsidRPr="00B21BB7">
        <w:t xml:space="preserve"> предложением двух торговых центров и крупной торгово-розничной сети </w:t>
      </w:r>
      <w:proofErr w:type="spellStart"/>
      <w:r w:rsidRPr="00B21BB7">
        <w:t>Adilisik</w:t>
      </w:r>
      <w:proofErr w:type="spellEnd"/>
      <w:r w:rsidRPr="00B21BB7">
        <w:t xml:space="preserve"> в первом квартале текущего года и продажи </w:t>
      </w:r>
      <w:proofErr w:type="spellStart"/>
      <w:proofErr w:type="gramStart"/>
      <w:r w:rsidRPr="00B21BB7">
        <w:t>Бутик-отеля</w:t>
      </w:r>
      <w:proofErr w:type="spellEnd"/>
      <w:proofErr w:type="gramEnd"/>
      <w:r w:rsidRPr="00B21BB7">
        <w:t xml:space="preserve"> 5* в г. Санкт-Петербурге стоимостью 2600 млн. руб. во втором квартале 2011 года. </w:t>
      </w:r>
    </w:p>
    <w:p w:rsidR="00CC244B" w:rsidRPr="00395C0F" w:rsidRDefault="00CC244B" w:rsidP="00CC244B">
      <w:pPr>
        <w:jc w:val="center"/>
        <w:rPr>
          <w:color w:val="C00000"/>
        </w:rPr>
      </w:pPr>
      <w:r w:rsidRPr="00395C0F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B21BB7" w:rsidP="00CC244B">
      <w:pPr>
        <w:jc w:val="center"/>
      </w:pPr>
      <w:r w:rsidRPr="00B21BB7">
        <w:rPr>
          <w:noProof/>
          <w:lang w:eastAsia="ru-RU"/>
        </w:rPr>
        <w:drawing>
          <wp:inline distT="0" distB="0" distL="0" distR="0">
            <wp:extent cx="4896544" cy="2376264"/>
            <wp:effectExtent l="0" t="0" r="0" b="0"/>
            <wp:docPr id="59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B21BB7" w:rsidRDefault="00B21BB7" w:rsidP="00CC244B">
      <w:pPr>
        <w:jc w:val="center"/>
        <w:rPr>
          <w:b/>
          <w:bCs/>
          <w:color w:val="0070C0"/>
        </w:rPr>
      </w:pPr>
    </w:p>
    <w:p w:rsidR="00CC244B" w:rsidRPr="00395C0F" w:rsidRDefault="00CC244B" w:rsidP="00CC244B">
      <w:pPr>
        <w:jc w:val="center"/>
        <w:rPr>
          <w:color w:val="0070C0"/>
        </w:rPr>
      </w:pPr>
      <w:r w:rsidRPr="00395C0F">
        <w:rPr>
          <w:b/>
          <w:bCs/>
          <w:color w:val="0070C0"/>
        </w:rPr>
        <w:t>Количество предложений  о продаже бизнеса, шт.</w:t>
      </w:r>
    </w:p>
    <w:p w:rsidR="00CC244B" w:rsidRDefault="00B21BB7" w:rsidP="00CC244B">
      <w:pPr>
        <w:jc w:val="center"/>
      </w:pPr>
      <w:r w:rsidRPr="00B21BB7">
        <w:rPr>
          <w:noProof/>
          <w:lang w:eastAsia="ru-RU"/>
        </w:rPr>
        <w:drawing>
          <wp:inline distT="0" distB="0" distL="0" distR="0">
            <wp:extent cx="5943600" cy="2286000"/>
            <wp:effectExtent l="19050" t="0" r="0" b="0"/>
            <wp:docPr id="60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BD3BF6" w:rsidRDefault="00BD3BF6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833026" w:rsidP="00BD3BF6">
      <w:pPr>
        <w:jc w:val="both"/>
      </w:pPr>
      <w:r>
        <w:rPr>
          <w:noProof/>
          <w:lang w:eastAsia="ru-RU"/>
        </w:rPr>
        <w:pict>
          <v:rect id="_x0000_s1037" style="position:absolute;left:0;text-align:left;margin-left:-85.05pt;margin-top:-7.3pt;width:599.25pt;height:2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7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ПРИВОЛЖСКИЙ ФЕДЕРАЛЬНЫЙ ОКРУГ</w:t>
                  </w:r>
                </w:p>
              </w:txbxContent>
            </v:textbox>
          </v:rect>
        </w:pict>
      </w:r>
    </w:p>
    <w:p w:rsidR="00BD3BF6" w:rsidRPr="00BD3BF6" w:rsidRDefault="00BD3BF6" w:rsidP="00BD3BF6">
      <w:pPr>
        <w:jc w:val="both"/>
      </w:pPr>
      <w:r w:rsidRPr="00BD3BF6">
        <w:t xml:space="preserve">В ПФО наблюдается схожая с другими округами тенденция по снижению суммарного количества заявок на продажу бизнеса в третьем квартале текущего года. Наиболее значительное снижение заявок на продажу отмечено в деревообрабатывающей отрасли, а также продажах гостиниц и баз отдыха. Увеличение доли предложений в совокупном объёме продаж в рассматриваемом периоде отмечено в сегментах продаж производителей строительных материалов (6,4 п.п.) и арендном бизнесе (6,8 п.п.). </w:t>
      </w:r>
    </w:p>
    <w:p w:rsidR="00CC244B" w:rsidRPr="00EA310A" w:rsidRDefault="00CC244B" w:rsidP="00CC244B">
      <w:pPr>
        <w:jc w:val="center"/>
        <w:rPr>
          <w:color w:val="0070C0"/>
        </w:rPr>
      </w:pPr>
      <w:r w:rsidRPr="00EA310A">
        <w:rPr>
          <w:b/>
          <w:bCs/>
          <w:color w:val="0070C0"/>
        </w:rPr>
        <w:t>Динамика предложений о продаже бизнеса</w:t>
      </w:r>
    </w:p>
    <w:p w:rsidR="00CC244B" w:rsidRDefault="00BD3BF6" w:rsidP="00CC244B">
      <w:pPr>
        <w:jc w:val="center"/>
      </w:pPr>
      <w:r w:rsidRPr="00BD3BF6">
        <w:rPr>
          <w:noProof/>
          <w:lang w:eastAsia="ru-RU"/>
        </w:rPr>
        <w:drawing>
          <wp:inline distT="0" distB="0" distL="0" distR="0">
            <wp:extent cx="4608512" cy="2305417"/>
            <wp:effectExtent l="0" t="0" r="0" b="0"/>
            <wp:docPr id="61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C244B" w:rsidRPr="00EA310A" w:rsidRDefault="00CC244B" w:rsidP="00CC244B">
      <w:pPr>
        <w:jc w:val="center"/>
        <w:rPr>
          <w:color w:val="0070C0"/>
        </w:rPr>
      </w:pPr>
      <w:r w:rsidRPr="00EA310A">
        <w:rPr>
          <w:b/>
          <w:bCs/>
          <w:color w:val="0070C0"/>
        </w:rPr>
        <w:t xml:space="preserve">Распределение предложений  о продаже бизнеса </w:t>
      </w:r>
      <w:r w:rsidR="00BD3BF6">
        <w:rPr>
          <w:b/>
          <w:bCs/>
          <w:color w:val="0070C0"/>
        </w:rPr>
        <w:t>во втором</w:t>
      </w:r>
      <w:r w:rsidRPr="00EA310A">
        <w:rPr>
          <w:b/>
          <w:bCs/>
          <w:color w:val="0070C0"/>
        </w:rPr>
        <w:t xml:space="preserve"> квартале 2011 г.</w:t>
      </w:r>
    </w:p>
    <w:p w:rsidR="00CC244B" w:rsidRDefault="00BD3BF6" w:rsidP="00CC244B">
      <w:pPr>
        <w:jc w:val="center"/>
      </w:pPr>
      <w:r w:rsidRPr="00BD3BF6">
        <w:rPr>
          <w:noProof/>
          <w:lang w:eastAsia="ru-RU"/>
        </w:rPr>
        <w:drawing>
          <wp:inline distT="0" distB="0" distL="0" distR="0">
            <wp:extent cx="4499992" cy="2880319"/>
            <wp:effectExtent l="0" t="0" r="0" b="0"/>
            <wp:docPr id="62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  <w:color w:val="C00000"/>
        </w:rPr>
      </w:pPr>
    </w:p>
    <w:p w:rsidR="00CC244B" w:rsidRPr="00EA310A" w:rsidRDefault="00CC244B" w:rsidP="00CC244B">
      <w:pPr>
        <w:jc w:val="center"/>
        <w:rPr>
          <w:color w:val="C00000"/>
        </w:rPr>
      </w:pPr>
      <w:r w:rsidRPr="00EA310A">
        <w:rPr>
          <w:b/>
          <w:bCs/>
          <w:color w:val="C00000"/>
        </w:rPr>
        <w:lastRenderedPageBreak/>
        <w:t>Распределение п</w:t>
      </w:r>
      <w:r w:rsidR="00BD3BF6">
        <w:rPr>
          <w:b/>
          <w:bCs/>
          <w:color w:val="C00000"/>
        </w:rPr>
        <w:t>редложений  о продаже бизнеса в третье</w:t>
      </w:r>
      <w:r w:rsidRPr="00EA310A">
        <w:rPr>
          <w:b/>
          <w:bCs/>
          <w:color w:val="C00000"/>
        </w:rPr>
        <w:t>м квартале 2011 г.</w:t>
      </w:r>
    </w:p>
    <w:p w:rsidR="00CC244B" w:rsidRDefault="00BD3BF6" w:rsidP="00CC244B">
      <w:pPr>
        <w:jc w:val="center"/>
      </w:pPr>
      <w:r w:rsidRPr="00BD3BF6">
        <w:rPr>
          <w:noProof/>
          <w:lang w:eastAsia="ru-RU"/>
        </w:rPr>
        <w:drawing>
          <wp:inline distT="0" distB="0" distL="0" distR="0">
            <wp:extent cx="4104456" cy="2808312"/>
            <wp:effectExtent l="0" t="0" r="0" b="0"/>
            <wp:docPr id="63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CC244B" w:rsidRDefault="00CC244B" w:rsidP="00CC244B">
      <w:pPr>
        <w:spacing w:after="0"/>
        <w:jc w:val="both"/>
      </w:pPr>
    </w:p>
    <w:p w:rsidR="00C20291" w:rsidRDefault="00C20291" w:rsidP="00CC244B">
      <w:pPr>
        <w:spacing w:after="0"/>
        <w:jc w:val="both"/>
      </w:pPr>
    </w:p>
    <w:p w:rsidR="00C20291" w:rsidRDefault="00C20291" w:rsidP="00CC244B">
      <w:pPr>
        <w:spacing w:after="0"/>
        <w:jc w:val="both"/>
      </w:pPr>
    </w:p>
    <w:p w:rsidR="00C20291" w:rsidRDefault="00C20291" w:rsidP="00CC244B">
      <w:pPr>
        <w:spacing w:after="0"/>
        <w:jc w:val="both"/>
      </w:pPr>
    </w:p>
    <w:p w:rsidR="00C20291" w:rsidRPr="00C20291" w:rsidRDefault="00C20291" w:rsidP="00C20291">
      <w:pPr>
        <w:jc w:val="both"/>
      </w:pPr>
      <w:r w:rsidRPr="00C20291">
        <w:t xml:space="preserve">В третьем квартале 2011 года суммарная стоимость продаваемого бизнеса  снизилась на 43% по сравнению со вторым кварталом текущего года и на 50% по сравнению с первым. В рассматриваемом периоде доля заявок на продажу бизнеса в низшем ценовом диапазоне (от 15 млн. руб. до 50 млн. руб.) увеличилась с 42,9% до 54,2%, в свою очередь, в диапазоне от 51 млн. руб. до 100 млн. руб. зафиксировано снижение доли предложений </w:t>
      </w:r>
      <w:proofErr w:type="gramStart"/>
      <w:r w:rsidRPr="00C20291">
        <w:t>на</w:t>
      </w:r>
      <w:proofErr w:type="gramEnd"/>
      <w:r w:rsidRPr="00C20291">
        <w:t xml:space="preserve"> 10,8 п.п. </w:t>
      </w:r>
    </w:p>
    <w:p w:rsidR="00CC244B" w:rsidRPr="00EA310A" w:rsidRDefault="00CC244B" w:rsidP="00CC244B">
      <w:pPr>
        <w:jc w:val="center"/>
        <w:rPr>
          <w:color w:val="C00000"/>
        </w:rPr>
      </w:pPr>
      <w:r w:rsidRPr="00EA310A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4968551" cy="2448271"/>
            <wp:effectExtent l="0" t="0" r="0" b="0"/>
            <wp:docPr id="64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20291">
      <w:pPr>
        <w:rPr>
          <w:b/>
          <w:bCs/>
          <w:color w:val="0070C0"/>
        </w:rPr>
      </w:pPr>
    </w:p>
    <w:p w:rsidR="00D346D4" w:rsidRDefault="00D346D4" w:rsidP="00C20291">
      <w:pPr>
        <w:rPr>
          <w:b/>
          <w:bCs/>
          <w:color w:val="0070C0"/>
        </w:rPr>
      </w:pP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EA310A" w:rsidRDefault="00CC244B" w:rsidP="00CC244B">
      <w:pPr>
        <w:jc w:val="center"/>
        <w:rPr>
          <w:color w:val="0070C0"/>
        </w:rPr>
      </w:pPr>
      <w:r w:rsidRPr="00EA310A">
        <w:rPr>
          <w:b/>
          <w:bCs/>
          <w:color w:val="0070C0"/>
        </w:rPr>
        <w:t>Количество предложений  о продаже бизнеса, шт.</w:t>
      </w:r>
    </w:p>
    <w:p w:rsidR="00CC244B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5943600" cy="2438400"/>
            <wp:effectExtent l="19050" t="0" r="0" b="0"/>
            <wp:docPr id="65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>
      <w:pPr>
        <w:jc w:val="center"/>
      </w:pPr>
    </w:p>
    <w:p w:rsidR="00CC244B" w:rsidRDefault="00CC244B" w:rsidP="00CC244B"/>
    <w:p w:rsidR="00CC244B" w:rsidRDefault="00CC244B" w:rsidP="00CC244B"/>
    <w:p w:rsidR="00CC244B" w:rsidRDefault="00CC244B" w:rsidP="00CC244B"/>
    <w:p w:rsidR="00C20291" w:rsidRDefault="00C20291" w:rsidP="00CC244B"/>
    <w:p w:rsidR="00C20291" w:rsidRDefault="00C20291" w:rsidP="00CC244B"/>
    <w:p w:rsidR="00CC244B" w:rsidRDefault="00CC244B" w:rsidP="00CC244B"/>
    <w:p w:rsidR="00CC244B" w:rsidRDefault="00833026" w:rsidP="00CC244B">
      <w:r>
        <w:rPr>
          <w:noProof/>
          <w:lang w:eastAsia="ru-RU"/>
        </w:rPr>
        <w:lastRenderedPageBreak/>
        <w:pict>
          <v:rect id="_x0000_s1038" style="position:absolute;margin-left:-85.05pt;margin-top:-12.15pt;width:599.25pt;height:20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8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ЮЖНЫЙ ФЕДЕРАЛЬНЫЙ ОКРУГ</w:t>
                  </w:r>
                </w:p>
              </w:txbxContent>
            </v:textbox>
          </v:rect>
        </w:pict>
      </w:r>
    </w:p>
    <w:p w:rsidR="00C20291" w:rsidRDefault="00C20291" w:rsidP="00C20291">
      <w:pPr>
        <w:jc w:val="both"/>
      </w:pPr>
      <w:r w:rsidRPr="00C20291">
        <w:t xml:space="preserve">В Южном федеральном округе в третьем квартале текущего года отмечено снижение суммарного количества предложений на 45% по сравнению со вторым кварталом. В большей мере снижение количества заявок наблюдалось в продажах сельскохозяйственных предприятий, гостиниц и баз отдыха. Рост количества заявок на продажу бизнеса зафиксирован в сфере продаж ночных клубов и парков развлечений.  </w:t>
      </w:r>
    </w:p>
    <w:p w:rsidR="00D346D4" w:rsidRPr="00C20291" w:rsidRDefault="00D346D4" w:rsidP="00C20291">
      <w:pPr>
        <w:jc w:val="both"/>
      </w:pPr>
    </w:p>
    <w:p w:rsidR="00CC244B" w:rsidRPr="00EA310A" w:rsidRDefault="00CC244B" w:rsidP="00CC244B">
      <w:pPr>
        <w:jc w:val="center"/>
        <w:rPr>
          <w:color w:val="0070C0"/>
        </w:rPr>
      </w:pPr>
      <w:r w:rsidRPr="00EA310A">
        <w:rPr>
          <w:b/>
          <w:bCs/>
          <w:color w:val="0070C0"/>
        </w:rPr>
        <w:t>Динамика предложений о продаже бизнеса</w:t>
      </w:r>
    </w:p>
    <w:p w:rsidR="00CC244B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4676775" cy="2505075"/>
            <wp:effectExtent l="0" t="0" r="0" b="0"/>
            <wp:docPr id="68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EA310A" w:rsidRDefault="00CC244B" w:rsidP="00CC244B">
      <w:pPr>
        <w:jc w:val="center"/>
        <w:rPr>
          <w:color w:val="0070C0"/>
        </w:rPr>
      </w:pPr>
      <w:r w:rsidRPr="00EA310A">
        <w:rPr>
          <w:b/>
          <w:bCs/>
          <w:color w:val="0070C0"/>
        </w:rPr>
        <w:t>Распределение предложений  о продаже бизнеса в</w:t>
      </w:r>
      <w:r w:rsidR="00C20291">
        <w:rPr>
          <w:b/>
          <w:bCs/>
          <w:color w:val="0070C0"/>
        </w:rPr>
        <w:t>о</w:t>
      </w:r>
      <w:r w:rsidRPr="00EA310A">
        <w:rPr>
          <w:b/>
          <w:bCs/>
          <w:color w:val="0070C0"/>
        </w:rPr>
        <w:t xml:space="preserve"> </w:t>
      </w:r>
      <w:r w:rsidR="00C20291">
        <w:rPr>
          <w:b/>
          <w:bCs/>
          <w:color w:val="0070C0"/>
        </w:rPr>
        <w:t xml:space="preserve">втором </w:t>
      </w:r>
      <w:r w:rsidRPr="00EA310A">
        <w:rPr>
          <w:b/>
          <w:bCs/>
          <w:color w:val="0070C0"/>
        </w:rPr>
        <w:t>квартале 2011 г.</w:t>
      </w:r>
    </w:p>
    <w:p w:rsidR="00CC244B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4320480" cy="2880320"/>
            <wp:effectExtent l="0" t="0" r="0" b="0"/>
            <wp:docPr id="69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Pr="00EA310A" w:rsidRDefault="00CC244B" w:rsidP="00CC244B">
      <w:pPr>
        <w:jc w:val="center"/>
        <w:rPr>
          <w:color w:val="C00000"/>
        </w:rPr>
      </w:pPr>
      <w:r w:rsidRPr="00EA310A">
        <w:rPr>
          <w:b/>
          <w:bCs/>
          <w:color w:val="C00000"/>
        </w:rPr>
        <w:t>Распределение п</w:t>
      </w:r>
      <w:r w:rsidR="00C20291">
        <w:rPr>
          <w:b/>
          <w:bCs/>
          <w:color w:val="C00000"/>
        </w:rPr>
        <w:t>редложений  о продаже бизнеса в</w:t>
      </w:r>
      <w:r w:rsidRPr="00EA310A">
        <w:rPr>
          <w:b/>
          <w:bCs/>
          <w:color w:val="C00000"/>
        </w:rPr>
        <w:t xml:space="preserve"> </w:t>
      </w:r>
      <w:r w:rsidR="00C20291">
        <w:rPr>
          <w:b/>
          <w:bCs/>
          <w:color w:val="C00000"/>
        </w:rPr>
        <w:t xml:space="preserve">третьем </w:t>
      </w:r>
      <w:r w:rsidRPr="00EA310A">
        <w:rPr>
          <w:b/>
          <w:bCs/>
          <w:color w:val="C00000"/>
        </w:rPr>
        <w:t>квартале 2011 г.</w:t>
      </w:r>
    </w:p>
    <w:p w:rsidR="00CC244B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4032448" cy="2880320"/>
            <wp:effectExtent l="0" t="0" r="0" b="0"/>
            <wp:docPr id="70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C20291" w:rsidRDefault="00C20291" w:rsidP="00C20291">
      <w:pPr>
        <w:jc w:val="both"/>
      </w:pPr>
    </w:p>
    <w:p w:rsidR="00C20291" w:rsidRPr="00C20291" w:rsidRDefault="00C20291" w:rsidP="00C20291">
      <w:pPr>
        <w:jc w:val="both"/>
      </w:pPr>
      <w:r w:rsidRPr="00C20291">
        <w:t>Суммарная стоимость бизнеса на продажу снизилась на 41% по сравнению со вторым кварталом текущего года. Это связано как с меньшим совокупным предложением, так и с отсутствием предложения крупных объектов бизнеса.</w:t>
      </w:r>
    </w:p>
    <w:p w:rsidR="00C20291" w:rsidRPr="00C20291" w:rsidRDefault="00C20291" w:rsidP="00C20291">
      <w:pPr>
        <w:jc w:val="both"/>
      </w:pPr>
      <w:r w:rsidRPr="00C20291">
        <w:t>Доля предложений на продажу бизнеса, находящихся в ценовом диапазоне от 15 млн. руб. до 50 млн. руб.</w:t>
      </w:r>
      <w:r w:rsidR="009329E0">
        <w:t>,</w:t>
      </w:r>
      <w:r w:rsidRPr="00C20291">
        <w:t xml:space="preserve"> снизилась на 10 п.п., однако в диапазоне от 101 млн. руб. до 500 млн. руб.  увеличилась на 14,7 п.п. </w:t>
      </w:r>
    </w:p>
    <w:p w:rsidR="00C20291" w:rsidRDefault="00C20291" w:rsidP="00CC244B">
      <w:pPr>
        <w:jc w:val="center"/>
      </w:pPr>
    </w:p>
    <w:p w:rsidR="00CC244B" w:rsidRPr="00EA310A" w:rsidRDefault="00CC244B" w:rsidP="00CC244B">
      <w:pPr>
        <w:jc w:val="center"/>
        <w:rPr>
          <w:color w:val="C00000"/>
        </w:rPr>
      </w:pPr>
      <w:r w:rsidRPr="00EA310A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Pr="00D25800" w:rsidRDefault="00C20291" w:rsidP="00CC244B">
      <w:pPr>
        <w:jc w:val="center"/>
      </w:pPr>
      <w:r w:rsidRPr="00C20291">
        <w:rPr>
          <w:noProof/>
          <w:lang w:eastAsia="ru-RU"/>
        </w:rPr>
        <w:drawing>
          <wp:inline distT="0" distB="0" distL="0" distR="0">
            <wp:extent cx="5112567" cy="2592288"/>
            <wp:effectExtent l="0" t="0" r="0" b="0"/>
            <wp:docPr id="71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CC244B" w:rsidRDefault="00CC244B" w:rsidP="00CC244B">
      <w:pPr>
        <w:jc w:val="both"/>
      </w:pPr>
    </w:p>
    <w:p w:rsidR="00CC244B" w:rsidRDefault="00CC244B" w:rsidP="00CC244B">
      <w:pPr>
        <w:jc w:val="both"/>
      </w:pPr>
    </w:p>
    <w:p w:rsidR="00CC244B" w:rsidRPr="00D25800" w:rsidRDefault="00CC244B" w:rsidP="00CC244B">
      <w:pPr>
        <w:jc w:val="both"/>
      </w:pP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2B40A0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Количество предложений  о продаже бизнеса, шт.</w:t>
      </w:r>
    </w:p>
    <w:p w:rsidR="00CC244B" w:rsidRDefault="0069691F" w:rsidP="0069691F">
      <w:pPr>
        <w:jc w:val="center"/>
      </w:pPr>
      <w:r w:rsidRPr="0069691F">
        <w:rPr>
          <w:noProof/>
          <w:lang w:eastAsia="ru-RU"/>
        </w:rPr>
        <w:drawing>
          <wp:inline distT="0" distB="0" distL="0" distR="0">
            <wp:extent cx="5943600" cy="2238375"/>
            <wp:effectExtent l="19050" t="0" r="0" b="0"/>
            <wp:docPr id="72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F3D78" w:rsidRDefault="00CF3D78" w:rsidP="00CC244B"/>
    <w:p w:rsidR="00CF3D78" w:rsidRDefault="00CF3D78" w:rsidP="00CC244B"/>
    <w:p w:rsidR="00CF3D78" w:rsidRDefault="00CF3D78" w:rsidP="00CC244B"/>
    <w:p w:rsidR="00CF3D78" w:rsidRDefault="00CF3D78" w:rsidP="00CC244B"/>
    <w:p w:rsidR="00CF3D78" w:rsidRDefault="00CF3D78" w:rsidP="00CC244B"/>
    <w:p w:rsidR="00CF3D78" w:rsidRDefault="00CF3D78" w:rsidP="00CC244B"/>
    <w:p w:rsidR="00CC244B" w:rsidRDefault="00CC244B" w:rsidP="00CC244B"/>
    <w:p w:rsidR="00CC244B" w:rsidRDefault="00833026" w:rsidP="00CC244B">
      <w:r>
        <w:rPr>
          <w:noProof/>
          <w:lang w:eastAsia="ru-RU"/>
        </w:rPr>
        <w:lastRenderedPageBreak/>
        <w:pict>
          <v:rect id="_x0000_s1039" style="position:absolute;margin-left:-86.55pt;margin-top:-13.65pt;width:599.25pt;height:20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9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УРАЛЬСКИЙ ФЕДЕРАЛЬНЫЙ ОКРУГ</w:t>
                  </w:r>
                </w:p>
              </w:txbxContent>
            </v:textbox>
          </v:rect>
        </w:pict>
      </w:r>
    </w:p>
    <w:p w:rsidR="00CF3D78" w:rsidRPr="00CF3D78" w:rsidRDefault="00CF3D78" w:rsidP="00CF3D78">
      <w:pPr>
        <w:jc w:val="both"/>
      </w:pPr>
      <w:r w:rsidRPr="00CF3D78">
        <w:t xml:space="preserve">В Уральском федеральном округе в третьем квартале также отмечено снижение количества совокупного предложения, однако менее значительное нежели в большинстве других федеральных округов России. Наибольшее снижение предложений зафиксировано в продажах деревообрабатывающих предприятий, а также гостиниц и баз отдыха. </w:t>
      </w: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2B40A0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Динамика предложений о продаже бизнеса</w:t>
      </w:r>
    </w:p>
    <w:p w:rsidR="00CC244B" w:rsidRDefault="00CF3D78" w:rsidP="00CC244B">
      <w:pPr>
        <w:jc w:val="center"/>
      </w:pPr>
      <w:r w:rsidRPr="00CF3D78">
        <w:rPr>
          <w:noProof/>
          <w:lang w:eastAsia="ru-RU"/>
        </w:rPr>
        <w:drawing>
          <wp:inline distT="0" distB="0" distL="0" distR="0">
            <wp:extent cx="4916760" cy="2219513"/>
            <wp:effectExtent l="0" t="0" r="0" b="0"/>
            <wp:docPr id="73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2B40A0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Распределение предложений  о продаже бизнеса в</w:t>
      </w:r>
      <w:r w:rsidR="00CF3D78">
        <w:rPr>
          <w:b/>
          <w:bCs/>
          <w:color w:val="0070C0"/>
        </w:rPr>
        <w:t>о</w:t>
      </w:r>
      <w:r w:rsidRPr="002B40A0">
        <w:rPr>
          <w:b/>
          <w:bCs/>
          <w:color w:val="0070C0"/>
        </w:rPr>
        <w:t xml:space="preserve"> </w:t>
      </w:r>
      <w:r w:rsidR="00CF3D78">
        <w:rPr>
          <w:b/>
          <w:bCs/>
          <w:color w:val="0070C0"/>
        </w:rPr>
        <w:t xml:space="preserve">втором </w:t>
      </w:r>
      <w:r w:rsidRPr="002B40A0">
        <w:rPr>
          <w:b/>
          <w:bCs/>
          <w:color w:val="0070C0"/>
        </w:rPr>
        <w:t>квартале 2011 г.</w:t>
      </w:r>
    </w:p>
    <w:p w:rsidR="00CC244B" w:rsidRDefault="00CF3D78" w:rsidP="00CC244B">
      <w:pPr>
        <w:jc w:val="center"/>
      </w:pPr>
      <w:r w:rsidRPr="00CF3D78">
        <w:rPr>
          <w:noProof/>
          <w:lang w:eastAsia="ru-RU"/>
        </w:rPr>
        <w:drawing>
          <wp:inline distT="0" distB="0" distL="0" distR="0">
            <wp:extent cx="4176464" cy="2880320"/>
            <wp:effectExtent l="0" t="0" r="0" b="0"/>
            <wp:docPr id="74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F3D78" w:rsidRDefault="00CF3D78" w:rsidP="00CC244B">
      <w:pPr>
        <w:jc w:val="center"/>
        <w:rPr>
          <w:b/>
          <w:bCs/>
          <w:color w:val="C00000"/>
        </w:rPr>
      </w:pPr>
    </w:p>
    <w:p w:rsidR="00CC244B" w:rsidRPr="002B40A0" w:rsidRDefault="00CC244B" w:rsidP="00CC244B">
      <w:pPr>
        <w:jc w:val="center"/>
        <w:rPr>
          <w:color w:val="C00000"/>
        </w:rPr>
      </w:pPr>
      <w:r w:rsidRPr="002B40A0">
        <w:rPr>
          <w:b/>
          <w:bCs/>
          <w:color w:val="C00000"/>
        </w:rPr>
        <w:t>Распределение п</w:t>
      </w:r>
      <w:r w:rsidR="00CF3D78">
        <w:rPr>
          <w:b/>
          <w:bCs/>
          <w:color w:val="C00000"/>
        </w:rPr>
        <w:t>редложений  о продаже бизнеса в</w:t>
      </w:r>
      <w:r w:rsidRPr="002B40A0">
        <w:rPr>
          <w:b/>
          <w:bCs/>
          <w:color w:val="C00000"/>
        </w:rPr>
        <w:t xml:space="preserve"> </w:t>
      </w:r>
      <w:r w:rsidR="00CF3D78">
        <w:rPr>
          <w:b/>
          <w:bCs/>
          <w:color w:val="C00000"/>
        </w:rPr>
        <w:t>третьем</w:t>
      </w:r>
      <w:r w:rsidRPr="002B40A0">
        <w:rPr>
          <w:b/>
          <w:bCs/>
          <w:color w:val="C00000"/>
        </w:rPr>
        <w:t xml:space="preserve"> квартале 2011 г.</w:t>
      </w:r>
    </w:p>
    <w:p w:rsidR="00CC244B" w:rsidRDefault="001063DA" w:rsidP="00CC244B">
      <w:pPr>
        <w:jc w:val="center"/>
      </w:pPr>
      <w:r w:rsidRPr="001063DA">
        <w:rPr>
          <w:noProof/>
          <w:lang w:eastAsia="ru-RU"/>
        </w:rPr>
        <w:drawing>
          <wp:inline distT="0" distB="0" distL="0" distR="0">
            <wp:extent cx="4536504" cy="2736304"/>
            <wp:effectExtent l="0" t="0" r="0" b="0"/>
            <wp:docPr id="75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CC244B" w:rsidRDefault="00CC244B" w:rsidP="00CC244B">
      <w:pPr>
        <w:jc w:val="both"/>
      </w:pPr>
    </w:p>
    <w:p w:rsidR="001063DA" w:rsidRPr="001063DA" w:rsidRDefault="001063DA" w:rsidP="001063DA">
      <w:pPr>
        <w:jc w:val="both"/>
      </w:pPr>
      <w:r w:rsidRPr="001063DA">
        <w:t>Суммарная стоимость бизнеса снизилась с 15312 млн. руб. во втором квартале до 6029 млн. руб. в третьем квартале текущего года. Это связано с предложением ко</w:t>
      </w:r>
      <w:r w:rsidR="009329E0">
        <w:t>нсорциума трёх нефтяных компаний</w:t>
      </w:r>
      <w:r w:rsidRPr="001063DA">
        <w:t xml:space="preserve"> стоимостью 6160 млн. руб., ведущих разработку в Ханты-Мансийский АО, а также  ряда крупных торговых центров Свердловской области стоимостью более 1 млрд. руб. каждый во втором квартале 2011 года. </w:t>
      </w:r>
    </w:p>
    <w:p w:rsidR="00CC244B" w:rsidRPr="002B40A0" w:rsidRDefault="00CC244B" w:rsidP="00CC244B">
      <w:pPr>
        <w:jc w:val="center"/>
        <w:rPr>
          <w:color w:val="C00000"/>
        </w:rPr>
      </w:pPr>
      <w:r w:rsidRPr="002B40A0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1063DA" w:rsidP="00CC244B">
      <w:pPr>
        <w:jc w:val="center"/>
      </w:pPr>
      <w:r w:rsidRPr="001063DA">
        <w:rPr>
          <w:noProof/>
          <w:lang w:eastAsia="ru-RU"/>
        </w:rPr>
        <w:drawing>
          <wp:inline distT="0" distB="0" distL="0" distR="0">
            <wp:extent cx="5040560" cy="2520279"/>
            <wp:effectExtent l="0" t="0" r="0" b="0"/>
            <wp:docPr id="76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Default="00CC244B" w:rsidP="00CC244B">
      <w:pPr>
        <w:rPr>
          <w:b/>
          <w:bCs/>
        </w:rPr>
      </w:pPr>
    </w:p>
    <w:p w:rsidR="00CC244B" w:rsidRPr="002B40A0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Количество предложений  о продаже бизнеса, шт.</w:t>
      </w:r>
    </w:p>
    <w:p w:rsidR="00CC244B" w:rsidRDefault="0000199C" w:rsidP="00CC244B">
      <w:pPr>
        <w:jc w:val="center"/>
      </w:pPr>
      <w:r w:rsidRPr="0000199C">
        <w:rPr>
          <w:noProof/>
          <w:lang w:eastAsia="ru-RU"/>
        </w:rPr>
        <w:drawing>
          <wp:inline distT="0" distB="0" distL="0" distR="0">
            <wp:extent cx="5943600" cy="2266950"/>
            <wp:effectExtent l="19050" t="0" r="0" b="0"/>
            <wp:docPr id="77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00199C" w:rsidRDefault="0000199C" w:rsidP="00CC244B"/>
    <w:p w:rsidR="00224125" w:rsidRDefault="00224125" w:rsidP="00CC244B"/>
    <w:p w:rsidR="0000199C" w:rsidRDefault="0000199C" w:rsidP="00CC244B"/>
    <w:p w:rsidR="00CC244B" w:rsidRDefault="00CC244B" w:rsidP="00CC244B"/>
    <w:p w:rsidR="00CC244B" w:rsidRDefault="00833026" w:rsidP="00CC244B">
      <w:r>
        <w:rPr>
          <w:noProof/>
          <w:lang w:eastAsia="ru-RU"/>
        </w:rPr>
        <w:pict>
          <v:rect id="_x0000_s1040" style="position:absolute;margin-left:-87.3pt;margin-top:-15.9pt;width:599.25pt;height:20.6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40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СИБИРСКИЙ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ФЕДЕРАЛЬНЫЙ ОКРУГ</w:t>
                  </w:r>
                </w:p>
              </w:txbxContent>
            </v:textbox>
          </v:rect>
        </w:pict>
      </w:r>
    </w:p>
    <w:p w:rsidR="00B6609E" w:rsidRPr="00B6609E" w:rsidRDefault="00B6609E" w:rsidP="00B6609E">
      <w:pPr>
        <w:jc w:val="both"/>
      </w:pPr>
      <w:r w:rsidRPr="00B6609E">
        <w:t xml:space="preserve">В Сибирском федеральном округе в третьем квартале 2011 года наблюдается незначительное снижение совокупного количества предложений. В рассматриваемом периоде значительно изменилась и структура распределения предложений о продаже бизнеса. </w:t>
      </w:r>
    </w:p>
    <w:p w:rsidR="00D346D4" w:rsidRDefault="00D346D4" w:rsidP="00D346D4">
      <w:pPr>
        <w:rPr>
          <w:b/>
          <w:bCs/>
          <w:color w:val="0070C0"/>
        </w:rPr>
      </w:pPr>
    </w:p>
    <w:p w:rsidR="00CC244B" w:rsidRPr="00B6609E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Динамика предложений о продаже бизнеса</w:t>
      </w:r>
    </w:p>
    <w:p w:rsidR="00CC244B" w:rsidRDefault="00B6609E" w:rsidP="00CC244B">
      <w:pPr>
        <w:jc w:val="center"/>
        <w:rPr>
          <w:lang w:val="en-US"/>
        </w:rPr>
      </w:pPr>
      <w:r w:rsidRPr="00B6609E">
        <w:rPr>
          <w:noProof/>
          <w:lang w:eastAsia="ru-RU"/>
        </w:rPr>
        <w:drawing>
          <wp:inline distT="0" distB="0" distL="0" distR="0">
            <wp:extent cx="4752528" cy="2160240"/>
            <wp:effectExtent l="0" t="0" r="0" b="0"/>
            <wp:docPr id="78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346D4" w:rsidRDefault="00D346D4" w:rsidP="00CC244B">
      <w:pPr>
        <w:jc w:val="center"/>
        <w:rPr>
          <w:b/>
          <w:bCs/>
          <w:color w:val="0070C0"/>
        </w:rPr>
      </w:pPr>
    </w:p>
    <w:p w:rsidR="00CC244B" w:rsidRPr="002B40A0" w:rsidRDefault="00CC244B" w:rsidP="00CC244B">
      <w:pPr>
        <w:jc w:val="center"/>
        <w:rPr>
          <w:color w:val="0070C0"/>
        </w:rPr>
      </w:pPr>
      <w:r w:rsidRPr="002B40A0">
        <w:rPr>
          <w:b/>
          <w:bCs/>
          <w:color w:val="0070C0"/>
        </w:rPr>
        <w:t>Распределение предложений  о продаже бизнеса в</w:t>
      </w:r>
      <w:r w:rsidR="00B6609E">
        <w:rPr>
          <w:b/>
          <w:bCs/>
          <w:color w:val="0070C0"/>
        </w:rPr>
        <w:t>о</w:t>
      </w:r>
      <w:r w:rsidRPr="002B40A0">
        <w:rPr>
          <w:b/>
          <w:bCs/>
          <w:color w:val="0070C0"/>
        </w:rPr>
        <w:t xml:space="preserve"> </w:t>
      </w:r>
      <w:r w:rsidR="00B6609E">
        <w:rPr>
          <w:b/>
          <w:bCs/>
          <w:color w:val="0070C0"/>
        </w:rPr>
        <w:t>втором</w:t>
      </w:r>
      <w:r w:rsidRPr="002B40A0">
        <w:rPr>
          <w:b/>
          <w:bCs/>
          <w:color w:val="0070C0"/>
        </w:rPr>
        <w:t xml:space="preserve"> квартале 2011 г.</w:t>
      </w:r>
    </w:p>
    <w:p w:rsidR="00CC244B" w:rsidRDefault="00B6609E" w:rsidP="00CC244B">
      <w:pPr>
        <w:jc w:val="center"/>
        <w:rPr>
          <w:lang w:val="en-US"/>
        </w:rPr>
      </w:pPr>
      <w:r w:rsidRPr="00B6609E">
        <w:rPr>
          <w:noProof/>
          <w:lang w:eastAsia="ru-RU"/>
        </w:rPr>
        <w:drawing>
          <wp:inline distT="0" distB="0" distL="0" distR="0">
            <wp:extent cx="4032448" cy="3096344"/>
            <wp:effectExtent l="0" t="0" r="6152" b="0"/>
            <wp:docPr id="7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CC244B" w:rsidRDefault="00CC244B" w:rsidP="00CC244B">
      <w:pPr>
        <w:jc w:val="center"/>
        <w:rPr>
          <w:b/>
          <w:bCs/>
          <w:color w:val="C00000"/>
        </w:rPr>
      </w:pPr>
    </w:p>
    <w:p w:rsidR="00D346D4" w:rsidRDefault="00D346D4" w:rsidP="00CC244B">
      <w:pPr>
        <w:jc w:val="center"/>
        <w:rPr>
          <w:b/>
          <w:bCs/>
          <w:color w:val="C00000"/>
        </w:rPr>
      </w:pPr>
    </w:p>
    <w:p w:rsidR="00D346D4" w:rsidRDefault="00D346D4" w:rsidP="00CC244B">
      <w:pPr>
        <w:jc w:val="center"/>
        <w:rPr>
          <w:b/>
          <w:bCs/>
          <w:color w:val="C00000"/>
        </w:rPr>
      </w:pPr>
    </w:p>
    <w:p w:rsidR="00D346D4" w:rsidRDefault="00D346D4" w:rsidP="00CC244B">
      <w:pPr>
        <w:jc w:val="center"/>
        <w:rPr>
          <w:b/>
          <w:bCs/>
          <w:color w:val="C00000"/>
        </w:rPr>
      </w:pPr>
    </w:p>
    <w:p w:rsidR="00CC244B" w:rsidRPr="002B40A0" w:rsidRDefault="00CC244B" w:rsidP="00CC244B">
      <w:pPr>
        <w:jc w:val="center"/>
        <w:rPr>
          <w:color w:val="C00000"/>
        </w:rPr>
      </w:pPr>
      <w:r w:rsidRPr="002B40A0">
        <w:rPr>
          <w:b/>
          <w:bCs/>
          <w:color w:val="C00000"/>
        </w:rPr>
        <w:t>Распределение п</w:t>
      </w:r>
      <w:r w:rsidR="00B6609E">
        <w:rPr>
          <w:b/>
          <w:bCs/>
          <w:color w:val="C00000"/>
        </w:rPr>
        <w:t>редложений  о продаже бизнеса в третьем</w:t>
      </w:r>
      <w:r w:rsidRPr="002B40A0">
        <w:rPr>
          <w:b/>
          <w:bCs/>
          <w:color w:val="C00000"/>
        </w:rPr>
        <w:t xml:space="preserve"> квартале 2011 г.</w:t>
      </w:r>
    </w:p>
    <w:p w:rsidR="00CC244B" w:rsidRDefault="00B6609E" w:rsidP="00CC244B">
      <w:pPr>
        <w:jc w:val="center"/>
      </w:pPr>
      <w:r w:rsidRPr="00B6609E">
        <w:rPr>
          <w:noProof/>
          <w:lang w:eastAsia="ru-RU"/>
        </w:rPr>
        <w:drawing>
          <wp:inline distT="0" distB="0" distL="0" distR="0">
            <wp:extent cx="4248472" cy="3168352"/>
            <wp:effectExtent l="0" t="0" r="0" b="0"/>
            <wp:docPr id="80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CC244B" w:rsidRPr="00ED26F2" w:rsidRDefault="00CC244B" w:rsidP="00CC244B">
      <w:pPr>
        <w:jc w:val="center"/>
      </w:pPr>
    </w:p>
    <w:p w:rsidR="00B6609E" w:rsidRPr="00B6609E" w:rsidRDefault="00B6609E" w:rsidP="00B6609E">
      <w:pPr>
        <w:jc w:val="both"/>
      </w:pPr>
      <w:r w:rsidRPr="00B6609E">
        <w:t xml:space="preserve">Суммарная стоимость заявок на продажу бизнеса в третьем квартале снизилась на 82% и 73% по сравнению с первым и вторым кварталом 2011 года. Это связано как с низким количеством заявок на продажу бизнеса в целом, так и с отсутствием значительных по стоимости предложений на продажу. В рассматриваемом периоде доля заявок на продажу бизнеса в низшем ценовом диапазоне (от 15 млн. руб. до 50 млн. руб.) увеличилась на 20 п.п. </w:t>
      </w:r>
    </w:p>
    <w:p w:rsidR="00CC244B" w:rsidRPr="00ED26F2" w:rsidRDefault="00CC244B" w:rsidP="00CC244B">
      <w:pPr>
        <w:jc w:val="center"/>
        <w:rPr>
          <w:color w:val="C00000"/>
        </w:rPr>
      </w:pPr>
      <w:r w:rsidRPr="00ED26F2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B6609E" w:rsidP="00CC244B">
      <w:pPr>
        <w:jc w:val="center"/>
        <w:rPr>
          <w:lang w:val="en-US"/>
        </w:rPr>
      </w:pPr>
      <w:r w:rsidRPr="00B6609E">
        <w:rPr>
          <w:noProof/>
          <w:lang w:eastAsia="ru-RU"/>
        </w:rPr>
        <w:drawing>
          <wp:inline distT="0" distB="0" distL="0" distR="0">
            <wp:extent cx="5040559" cy="2448271"/>
            <wp:effectExtent l="0" t="0" r="0" b="0"/>
            <wp:docPr id="81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Default="00CC244B" w:rsidP="00CC244B">
      <w:pPr>
        <w:jc w:val="center"/>
        <w:rPr>
          <w:b/>
          <w:bCs/>
          <w:color w:val="0070C0"/>
        </w:rPr>
      </w:pPr>
    </w:p>
    <w:p w:rsidR="00CC244B" w:rsidRPr="00ED26F2" w:rsidRDefault="00CC244B" w:rsidP="00CC244B">
      <w:pPr>
        <w:jc w:val="center"/>
        <w:rPr>
          <w:color w:val="0070C0"/>
        </w:rPr>
      </w:pPr>
      <w:r w:rsidRPr="00ED26F2">
        <w:rPr>
          <w:b/>
          <w:bCs/>
          <w:color w:val="0070C0"/>
        </w:rPr>
        <w:t>Количество предложений  о продаже бизнеса, шт.</w:t>
      </w:r>
    </w:p>
    <w:p w:rsidR="00CC244B" w:rsidRPr="002C1B49" w:rsidRDefault="004C090D" w:rsidP="004C090D">
      <w:pPr>
        <w:jc w:val="center"/>
      </w:pPr>
      <w:r w:rsidRPr="004C090D">
        <w:rPr>
          <w:noProof/>
          <w:lang w:eastAsia="ru-RU"/>
        </w:rPr>
        <w:drawing>
          <wp:inline distT="0" distB="0" distL="0" distR="0">
            <wp:extent cx="5943600" cy="2362200"/>
            <wp:effectExtent l="19050" t="0" r="0" b="0"/>
            <wp:docPr id="82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CC244B" w:rsidRPr="002C1B49" w:rsidRDefault="00CC244B" w:rsidP="00CC244B"/>
    <w:p w:rsidR="00CC244B" w:rsidRPr="004C090D" w:rsidRDefault="00CC244B" w:rsidP="00CC244B"/>
    <w:p w:rsidR="00CC244B" w:rsidRPr="004C090D" w:rsidRDefault="00CC244B" w:rsidP="00CC244B"/>
    <w:p w:rsidR="00CC244B" w:rsidRPr="00CC244B" w:rsidRDefault="00CC244B" w:rsidP="00CC244B"/>
    <w:p w:rsidR="00CC244B" w:rsidRDefault="00CC244B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Default="004C090D" w:rsidP="00CC244B"/>
    <w:p w:rsidR="004C090D" w:rsidRPr="00ED26F2" w:rsidRDefault="004C090D" w:rsidP="00CC244B"/>
    <w:p w:rsidR="00CC244B" w:rsidRPr="004C090D" w:rsidRDefault="00CC244B" w:rsidP="00CC244B"/>
    <w:p w:rsidR="00CC244B" w:rsidRPr="004C090D" w:rsidRDefault="00833026" w:rsidP="00CC244B">
      <w:r>
        <w:rPr>
          <w:noProof/>
          <w:lang w:eastAsia="ru-RU"/>
        </w:rPr>
        <w:pict>
          <v:rect id="_x0000_s1041" style="position:absolute;margin-left:-85.8pt;margin-top:-19.65pt;width:599.25pt;height:20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41;mso-fit-shape-to-text:t">
              <w:txbxContent>
                <w:p w:rsidR="00CC244B" w:rsidRDefault="00CC244B" w:rsidP="00CC244B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  <w:lang w:val="en-US"/>
                    </w:rPr>
                    <w:t xml:space="preserve">      </w:t>
                  </w:r>
                  <w:r>
                    <w:rPr>
                      <w:rFonts w:ascii="Calibri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ДАЛЬНЕВОСТОЧНЫЙ ФЕДЕРАЛЬНЫЙ ОКРУГ</w:t>
                  </w:r>
                </w:p>
              </w:txbxContent>
            </v:textbox>
          </v:rect>
        </w:pict>
      </w:r>
    </w:p>
    <w:p w:rsidR="004C090D" w:rsidRPr="004C090D" w:rsidRDefault="004C090D" w:rsidP="004C090D">
      <w:pPr>
        <w:jc w:val="both"/>
      </w:pPr>
      <w:r w:rsidRPr="004C090D">
        <w:t xml:space="preserve">Как и в первом полугодии 2011 Дальневосточный федеральный округ показывает самый низкий уровень активности продаж бизнеса. Несмотря на сезонный фактор, в третьем квартале текущего года наблюдается увеличение количества предложений о продаже бизнеса. Суммарная стоимость предложений о продаже бизнеса увеличилась более чем в 4 раза, это связано с продажей сельхозпредприятия стоимостью 800 млн. руб.  </w:t>
      </w:r>
    </w:p>
    <w:p w:rsidR="00CC244B" w:rsidRPr="00ED26F2" w:rsidRDefault="00CC244B" w:rsidP="00CC244B">
      <w:pPr>
        <w:jc w:val="center"/>
        <w:rPr>
          <w:color w:val="0070C0"/>
        </w:rPr>
      </w:pPr>
      <w:r w:rsidRPr="00ED26F2">
        <w:rPr>
          <w:b/>
          <w:bCs/>
          <w:color w:val="0070C0"/>
        </w:rPr>
        <w:t>Динамика предложений о продаже бизнеса</w:t>
      </w:r>
    </w:p>
    <w:p w:rsidR="00CC244B" w:rsidRDefault="004C090D" w:rsidP="00CC244B">
      <w:pPr>
        <w:jc w:val="center"/>
      </w:pPr>
      <w:r w:rsidRPr="004C090D">
        <w:rPr>
          <w:noProof/>
          <w:lang w:eastAsia="ru-RU"/>
        </w:rPr>
        <w:drawing>
          <wp:inline distT="0" distB="0" distL="0" distR="0">
            <wp:extent cx="4464496" cy="2808312"/>
            <wp:effectExtent l="0" t="0" r="0" b="0"/>
            <wp:docPr id="8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CC244B" w:rsidRPr="00ED26F2" w:rsidRDefault="00CC244B" w:rsidP="00CC244B">
      <w:pPr>
        <w:jc w:val="center"/>
        <w:rPr>
          <w:color w:val="C00000"/>
        </w:rPr>
      </w:pPr>
      <w:r w:rsidRPr="00ED26F2">
        <w:rPr>
          <w:b/>
          <w:bCs/>
          <w:color w:val="C00000"/>
        </w:rPr>
        <w:t>Динамика суммарной стоимости предложений о продаже бизнеса (млн. руб.)</w:t>
      </w:r>
    </w:p>
    <w:p w:rsidR="00CC244B" w:rsidRDefault="004C090D" w:rsidP="00CC244B">
      <w:pPr>
        <w:jc w:val="center"/>
      </w:pPr>
      <w:r w:rsidRPr="004C090D">
        <w:rPr>
          <w:noProof/>
          <w:lang w:eastAsia="ru-RU"/>
        </w:rPr>
        <w:drawing>
          <wp:inline distT="0" distB="0" distL="0" distR="0">
            <wp:extent cx="4392488" cy="2736304"/>
            <wp:effectExtent l="0" t="0" r="0" b="0"/>
            <wp:docPr id="87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CC244B" w:rsidRDefault="00CC244B" w:rsidP="00CC244B"/>
    <w:p w:rsidR="00CC244B" w:rsidRDefault="00CC244B" w:rsidP="00CC244B"/>
    <w:p w:rsidR="00CC244B" w:rsidRDefault="00CC244B" w:rsidP="00CC244B"/>
    <w:p w:rsidR="00CC244B" w:rsidRDefault="00CC244B" w:rsidP="00CC244B"/>
    <w:p w:rsidR="004C090D" w:rsidRDefault="004C090D" w:rsidP="007D16AB"/>
    <w:p w:rsidR="00D346D4" w:rsidRDefault="00D346D4" w:rsidP="007D16AB">
      <w:pPr>
        <w:rPr>
          <w:b/>
          <w:bCs/>
          <w:color w:val="0070C0"/>
        </w:rPr>
      </w:pPr>
    </w:p>
    <w:p w:rsidR="00D346D4" w:rsidRDefault="00D346D4" w:rsidP="007D16AB">
      <w:pPr>
        <w:rPr>
          <w:b/>
          <w:bCs/>
          <w:color w:val="0070C0"/>
        </w:rPr>
      </w:pPr>
    </w:p>
    <w:p w:rsidR="007D16AB" w:rsidRPr="00DD11A4" w:rsidRDefault="007D16AB" w:rsidP="007D16AB">
      <w:pPr>
        <w:rPr>
          <w:color w:val="0070C0"/>
        </w:rPr>
      </w:pPr>
      <w:r w:rsidRPr="00DD11A4">
        <w:rPr>
          <w:b/>
          <w:bCs/>
          <w:color w:val="0070C0"/>
        </w:rPr>
        <w:t>Отказ от ответственности</w:t>
      </w:r>
      <w:r w:rsidRPr="00DD11A4">
        <w:rPr>
          <w:color w:val="0070C0"/>
        </w:rPr>
        <w:t xml:space="preserve"> </w:t>
      </w:r>
    </w:p>
    <w:p w:rsidR="007D16AB" w:rsidRPr="007D16AB" w:rsidRDefault="007D16AB" w:rsidP="007D16AB">
      <w:r w:rsidRPr="007D16AB">
        <w:t> </w:t>
      </w:r>
    </w:p>
    <w:p w:rsidR="007D16AB" w:rsidRPr="007D16AB" w:rsidRDefault="007D16AB" w:rsidP="007D16AB">
      <w:r w:rsidRPr="007D16AB">
        <w:t>Настоящий обзор не претендует на абсолютную объективность и достоверность сделанных выводов в связи с тем, что рынок купли-продажи бизнеса является достаточно закрытым и более 60% сделок совершаются без обнародования информации об этом в открытых источниках.</w:t>
      </w:r>
    </w:p>
    <w:p w:rsidR="007D16AB" w:rsidRPr="007D16AB" w:rsidRDefault="007D16AB" w:rsidP="007D16AB">
      <w:r w:rsidRPr="007D16AB">
        <w:t xml:space="preserve">Настоящий документ преследует исключительно информативные цели и не является публичной офертой к купле/продаже какого-либо бизнеса или осуществлению любых иных инвестиций. </w:t>
      </w:r>
    </w:p>
    <w:p w:rsidR="007D16AB" w:rsidRPr="007D16AB" w:rsidRDefault="007D16AB" w:rsidP="007D16AB">
      <w:r w:rsidRPr="007D16AB">
        <w:t xml:space="preserve">Информация, содержащаяся в данном документе, была получена из источников, которые </w:t>
      </w:r>
      <w:r w:rsidRPr="007D16AB">
        <w:rPr>
          <w:lang w:val="en-US"/>
        </w:rPr>
        <w:t>Delphi</w:t>
      </w:r>
      <w:r w:rsidRPr="007D16AB">
        <w:t xml:space="preserve"> </w:t>
      </w:r>
      <w:r w:rsidRPr="007D16AB">
        <w:rPr>
          <w:lang w:val="en-US"/>
        </w:rPr>
        <w:t>Law</w:t>
      </w:r>
      <w:r w:rsidRPr="007D16AB">
        <w:t xml:space="preserve"> </w:t>
      </w:r>
      <w:r w:rsidRPr="007D16AB">
        <w:rPr>
          <w:lang w:val="en-US"/>
        </w:rPr>
        <w:t>Company</w:t>
      </w:r>
      <w:r w:rsidRPr="007D16AB">
        <w:t xml:space="preserve"> считает заслуживающими доверия. При этом компания </w:t>
      </w:r>
      <w:r w:rsidRPr="007D16AB">
        <w:rPr>
          <w:lang w:val="en-US"/>
        </w:rPr>
        <w:t>Delphi</w:t>
      </w:r>
      <w:r w:rsidRPr="007D16AB">
        <w:t xml:space="preserve"> </w:t>
      </w:r>
      <w:r w:rsidRPr="007D16AB">
        <w:rPr>
          <w:lang w:val="en-US"/>
        </w:rPr>
        <w:t>Law</w:t>
      </w:r>
      <w:r w:rsidRPr="007D16AB">
        <w:t xml:space="preserve"> </w:t>
      </w:r>
      <w:r w:rsidRPr="007D16AB">
        <w:rPr>
          <w:lang w:val="en-US"/>
        </w:rPr>
        <w:t>Company</w:t>
      </w:r>
      <w:r w:rsidRPr="007D16AB">
        <w:t xml:space="preserve"> и авторы документа не несут ответственности за возникшие убытки в связи с использованием содержащейся в документе информации или отсутствием в данном материале каких-либо важных сведений. </w:t>
      </w:r>
    </w:p>
    <w:p w:rsidR="007D16AB" w:rsidRPr="007D16AB" w:rsidRDefault="007D16AB" w:rsidP="007D16AB">
      <w:r w:rsidRPr="007D16AB">
        <w:t xml:space="preserve">Все оценки и мнения, представленные в данном исследовании, являются независимым мнением сотрудников </w:t>
      </w:r>
      <w:r w:rsidRPr="007D16AB">
        <w:rPr>
          <w:lang w:val="en-US"/>
        </w:rPr>
        <w:t>Delphi</w:t>
      </w:r>
      <w:r w:rsidRPr="007D16AB">
        <w:t xml:space="preserve"> </w:t>
      </w:r>
      <w:r w:rsidRPr="007D16AB">
        <w:rPr>
          <w:lang w:val="en-US"/>
        </w:rPr>
        <w:t>Law</w:t>
      </w:r>
      <w:r w:rsidRPr="007D16AB">
        <w:t xml:space="preserve"> </w:t>
      </w:r>
      <w:r w:rsidRPr="007D16AB">
        <w:rPr>
          <w:lang w:val="en-US"/>
        </w:rPr>
        <w:t>Company</w:t>
      </w:r>
      <w:r w:rsidRPr="007D16AB">
        <w:t xml:space="preserve"> на дату выхода документа. </w:t>
      </w:r>
      <w:proofErr w:type="gramStart"/>
      <w:r w:rsidRPr="007D16AB">
        <w:rPr>
          <w:lang w:val="en-US"/>
        </w:rPr>
        <w:t>Delphi</w:t>
      </w:r>
      <w:r w:rsidRPr="007D16AB">
        <w:t xml:space="preserve"> </w:t>
      </w:r>
      <w:r w:rsidRPr="007D16AB">
        <w:rPr>
          <w:lang w:val="en-US"/>
        </w:rPr>
        <w:t>Law</w:t>
      </w:r>
      <w:r w:rsidRPr="007D16AB">
        <w:t xml:space="preserve"> </w:t>
      </w:r>
      <w:r w:rsidRPr="007D16AB">
        <w:rPr>
          <w:lang w:val="en-US"/>
        </w:rPr>
        <w:t>Company</w:t>
      </w:r>
      <w:r w:rsidRPr="007D16AB">
        <w:t xml:space="preserve"> оставляет за собой право вносить или не вносить в данный документ изменения без предварительного уведомления.</w:t>
      </w:r>
      <w:proofErr w:type="gramEnd"/>
      <w:r w:rsidRPr="007D16AB">
        <w:t xml:space="preserve"> </w:t>
      </w:r>
    </w:p>
    <w:p w:rsidR="007D16AB" w:rsidRPr="007D16AB" w:rsidRDefault="007D16AB" w:rsidP="007D16AB">
      <w:r w:rsidRPr="007D16AB">
        <w:t xml:space="preserve">Перепечатка, распространение или публикация настоящего исследования не допускается без получения предварительного письменного согласия </w:t>
      </w:r>
      <w:r w:rsidRPr="007D16AB">
        <w:rPr>
          <w:lang w:val="en-US"/>
        </w:rPr>
        <w:t>Delphi</w:t>
      </w:r>
      <w:r w:rsidRPr="007D16AB">
        <w:t xml:space="preserve"> </w:t>
      </w:r>
      <w:r w:rsidRPr="007D16AB">
        <w:rPr>
          <w:lang w:val="en-US"/>
        </w:rPr>
        <w:t>Law</w:t>
      </w:r>
      <w:r w:rsidRPr="007D16AB">
        <w:t xml:space="preserve"> </w:t>
      </w:r>
      <w:r w:rsidRPr="007D16AB">
        <w:rPr>
          <w:lang w:val="en-US"/>
        </w:rPr>
        <w:t>Company</w:t>
      </w:r>
      <w:r w:rsidRPr="007D16AB">
        <w:t>.</w:t>
      </w:r>
    </w:p>
    <w:p w:rsidR="007D16AB" w:rsidRPr="007D16AB" w:rsidRDefault="007D16AB" w:rsidP="007D16AB">
      <w:r w:rsidRPr="007D16AB">
        <w:t> </w:t>
      </w:r>
    </w:p>
    <w:p w:rsidR="007D16AB" w:rsidRPr="007D16AB" w:rsidRDefault="007D16AB" w:rsidP="007D16AB">
      <w:pPr>
        <w:rPr>
          <w:lang w:val="en-US"/>
        </w:rPr>
      </w:pPr>
      <w:r w:rsidRPr="007D16AB">
        <w:rPr>
          <w:lang w:val="en-US"/>
        </w:rPr>
        <w:t xml:space="preserve">© 2011 Delphi Law Company. </w:t>
      </w:r>
      <w:r w:rsidRPr="007D16AB">
        <w:t>Все</w:t>
      </w:r>
      <w:r w:rsidRPr="007D16AB">
        <w:rPr>
          <w:lang w:val="en-US"/>
        </w:rPr>
        <w:t xml:space="preserve"> </w:t>
      </w:r>
      <w:r w:rsidRPr="007D16AB">
        <w:t>права</w:t>
      </w:r>
      <w:r w:rsidRPr="007D16AB">
        <w:rPr>
          <w:lang w:val="en-US"/>
        </w:rPr>
        <w:t xml:space="preserve"> </w:t>
      </w:r>
      <w:r w:rsidRPr="007D16AB">
        <w:t>защищены</w:t>
      </w:r>
      <w:r w:rsidRPr="007D16AB">
        <w:rPr>
          <w:lang w:val="en-US"/>
        </w:rPr>
        <w:t xml:space="preserve">. </w:t>
      </w: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7D16AB" w:rsidRPr="00320543" w:rsidRDefault="007D16AB" w:rsidP="003450A9">
      <w:pPr>
        <w:rPr>
          <w:lang w:val="en-US"/>
        </w:rPr>
      </w:pPr>
    </w:p>
    <w:p w:rsidR="00DD11A4" w:rsidRPr="003D78EE" w:rsidRDefault="00DD11A4" w:rsidP="003450A9">
      <w:pPr>
        <w:rPr>
          <w:lang w:val="en-US"/>
        </w:rPr>
      </w:pPr>
    </w:p>
    <w:p w:rsidR="00DD11A4" w:rsidRPr="00320543" w:rsidRDefault="00833026" w:rsidP="003450A9">
      <w:pPr>
        <w:rPr>
          <w:lang w:val="en-US"/>
        </w:rPr>
      </w:pPr>
      <w:r>
        <w:rPr>
          <w:noProof/>
          <w:lang w:eastAsia="ru-RU"/>
        </w:rPr>
        <w:pict>
          <v:rect id="_x0000_s1033" style="position:absolute;margin-left:-85.05pt;margin-top:5.8pt;width:595.5pt;height:2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" fillcolor="#c00000" stroked="f">
            <v:textbox style="mso-next-textbox:#_x0000_s1033;mso-fit-shape-to-text:t">
              <w:txbxContent>
                <w:p w:rsidR="00DD11A4" w:rsidRDefault="00DD11A4" w:rsidP="00DD11A4">
                  <w:pPr>
                    <w:pStyle w:val="a5"/>
                    <w:spacing w:before="0" w:beforeAutospacing="0" w:after="0" w:afterAutospacing="0"/>
                    <w:jc w:val="both"/>
                    <w:textAlignment w:val="baseline"/>
                  </w:pP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</w:t>
                  </w:r>
                  <w:r w:rsidRPr="006B782A"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FFFFFF"/>
                      <w:kern w:val="24"/>
                      <w:sz w:val="22"/>
                      <w:szCs w:val="22"/>
                    </w:rPr>
                    <w:t>КОНТАКТНАЯ ИНФОРМАЦИЯ</w:t>
                  </w:r>
                </w:p>
              </w:txbxContent>
            </v:textbox>
          </v:rect>
        </w:pict>
      </w:r>
    </w:p>
    <w:p w:rsidR="00DD11A4" w:rsidRPr="00320543" w:rsidRDefault="00DD11A4" w:rsidP="003450A9">
      <w:pPr>
        <w:rPr>
          <w:lang w:val="en-US"/>
        </w:rPr>
      </w:pPr>
    </w:p>
    <w:p w:rsidR="007D16AB" w:rsidRPr="00DD11A4" w:rsidRDefault="007D16AB" w:rsidP="007D16AB">
      <w:pPr>
        <w:rPr>
          <w:color w:val="0070C0"/>
        </w:rPr>
      </w:pPr>
      <w:r w:rsidRPr="00DD11A4">
        <w:rPr>
          <w:b/>
          <w:bCs/>
          <w:color w:val="0070C0"/>
        </w:rPr>
        <w:t>Юридическая компания «</w:t>
      </w:r>
      <w:proofErr w:type="spellStart"/>
      <w:r w:rsidRPr="00DD11A4">
        <w:rPr>
          <w:b/>
          <w:bCs/>
          <w:color w:val="0070C0"/>
        </w:rPr>
        <w:t>Дельфи</w:t>
      </w:r>
      <w:proofErr w:type="spellEnd"/>
      <w:r w:rsidRPr="00DD11A4">
        <w:rPr>
          <w:b/>
          <w:bCs/>
          <w:color w:val="0070C0"/>
        </w:rPr>
        <w:t>»</w:t>
      </w:r>
    </w:p>
    <w:p w:rsidR="007D16AB" w:rsidRPr="007D16AB" w:rsidRDefault="007D16AB" w:rsidP="00F76781">
      <w:pPr>
        <w:spacing w:after="0"/>
      </w:pPr>
      <w:r w:rsidRPr="007D16AB">
        <w:t>Россия, 121099, Москва, ул. Смоленская площадь, дом 3</w:t>
      </w:r>
    </w:p>
    <w:p w:rsidR="007D16AB" w:rsidRPr="007D16AB" w:rsidRDefault="007D16AB" w:rsidP="00F76781">
      <w:pPr>
        <w:spacing w:after="0"/>
      </w:pPr>
      <w:r w:rsidRPr="007D16AB">
        <w:t>тел.: + 7 (495) 507 44 64</w:t>
      </w:r>
    </w:p>
    <w:p w:rsidR="007D16AB" w:rsidRPr="007D16AB" w:rsidRDefault="007D16AB" w:rsidP="00F76781">
      <w:pPr>
        <w:spacing w:after="0"/>
      </w:pPr>
      <w:proofErr w:type="gramStart"/>
      <w:r w:rsidRPr="007D16AB">
        <w:rPr>
          <w:lang w:val="en-US"/>
        </w:rPr>
        <w:t>e</w:t>
      </w:r>
      <w:r w:rsidRPr="007D16AB">
        <w:t>-</w:t>
      </w:r>
      <w:r w:rsidRPr="007D16AB">
        <w:rPr>
          <w:lang w:val="en-US"/>
        </w:rPr>
        <w:t>mail</w:t>
      </w:r>
      <w:proofErr w:type="gramEnd"/>
      <w:r w:rsidRPr="007D16AB">
        <w:t xml:space="preserve">: </w:t>
      </w:r>
      <w:r w:rsidRPr="00DD11A4">
        <w:rPr>
          <w:color w:val="C00000"/>
          <w:lang w:val="en-US"/>
        </w:rPr>
        <w:t>office</w:t>
      </w:r>
      <w:r w:rsidRPr="00DD11A4">
        <w:rPr>
          <w:color w:val="C00000"/>
        </w:rPr>
        <w:t>@</w:t>
      </w:r>
      <w:proofErr w:type="spellStart"/>
      <w:r w:rsidRPr="00DD11A4">
        <w:rPr>
          <w:color w:val="C00000"/>
          <w:lang w:val="en-US"/>
        </w:rPr>
        <w:t>dellc</w:t>
      </w:r>
      <w:proofErr w:type="spellEnd"/>
      <w:r w:rsidRPr="00DD11A4">
        <w:rPr>
          <w:color w:val="C00000"/>
        </w:rPr>
        <w:t>.</w:t>
      </w:r>
      <w:proofErr w:type="spellStart"/>
      <w:r w:rsidRPr="00DD11A4">
        <w:rPr>
          <w:color w:val="C00000"/>
          <w:lang w:val="en-US"/>
        </w:rPr>
        <w:t>ru</w:t>
      </w:r>
      <w:proofErr w:type="spellEnd"/>
      <w:r w:rsidRPr="007D16AB">
        <w:t xml:space="preserve"> </w:t>
      </w:r>
    </w:p>
    <w:p w:rsidR="007D16AB" w:rsidRPr="00DD11A4" w:rsidRDefault="007D16AB" w:rsidP="007D16AB">
      <w:pPr>
        <w:rPr>
          <w:color w:val="C00000"/>
        </w:rPr>
      </w:pPr>
      <w:r w:rsidRPr="00DD11A4">
        <w:rPr>
          <w:b/>
          <w:bCs/>
          <w:color w:val="C00000"/>
          <w:lang w:val="en-US"/>
        </w:rPr>
        <w:t>www</w:t>
      </w:r>
      <w:r w:rsidRPr="00DD11A4">
        <w:rPr>
          <w:b/>
          <w:bCs/>
          <w:color w:val="C00000"/>
        </w:rPr>
        <w:t>.</w:t>
      </w:r>
      <w:proofErr w:type="spellStart"/>
      <w:r w:rsidRPr="00DD11A4">
        <w:rPr>
          <w:b/>
          <w:bCs/>
          <w:color w:val="C00000"/>
          <w:lang w:val="en-US"/>
        </w:rPr>
        <w:t>dellc</w:t>
      </w:r>
      <w:proofErr w:type="spellEnd"/>
      <w:r w:rsidRPr="00DD11A4">
        <w:rPr>
          <w:b/>
          <w:bCs/>
          <w:color w:val="C00000"/>
        </w:rPr>
        <w:t>.</w:t>
      </w:r>
      <w:proofErr w:type="spellStart"/>
      <w:r w:rsidRPr="00DD11A4">
        <w:rPr>
          <w:b/>
          <w:bCs/>
          <w:color w:val="C00000"/>
          <w:lang w:val="en-US"/>
        </w:rPr>
        <w:t>ru</w:t>
      </w:r>
      <w:proofErr w:type="spellEnd"/>
      <w:r w:rsidRPr="00DD11A4">
        <w:rPr>
          <w:b/>
          <w:bCs/>
          <w:color w:val="C00000"/>
        </w:rPr>
        <w:t xml:space="preserve"> </w:t>
      </w:r>
    </w:p>
    <w:p w:rsidR="007D16AB" w:rsidRPr="00DD11A4" w:rsidRDefault="007D16AB" w:rsidP="007D16AB">
      <w:pPr>
        <w:rPr>
          <w:color w:val="0070C0"/>
        </w:rPr>
      </w:pPr>
      <w:r w:rsidRPr="00DD11A4">
        <w:rPr>
          <w:b/>
          <w:bCs/>
          <w:color w:val="0070C0"/>
        </w:rPr>
        <w:t xml:space="preserve">Андрей </w:t>
      </w:r>
      <w:proofErr w:type="spellStart"/>
      <w:r w:rsidRPr="00DD11A4">
        <w:rPr>
          <w:b/>
          <w:bCs/>
          <w:color w:val="0070C0"/>
        </w:rPr>
        <w:t>Эйрих</w:t>
      </w:r>
      <w:proofErr w:type="spellEnd"/>
      <w:r w:rsidRPr="00DD11A4">
        <w:rPr>
          <w:b/>
          <w:bCs/>
          <w:color w:val="0070C0"/>
        </w:rPr>
        <w:t xml:space="preserve"> </w:t>
      </w:r>
    </w:p>
    <w:p w:rsidR="007D16AB" w:rsidRPr="007D16AB" w:rsidRDefault="007D16AB" w:rsidP="00F76781">
      <w:pPr>
        <w:spacing w:after="0" w:line="240" w:lineRule="auto"/>
      </w:pPr>
      <w:r w:rsidRPr="007D16AB">
        <w:t xml:space="preserve">Руководитель  отдела аналитики </w:t>
      </w:r>
    </w:p>
    <w:p w:rsidR="007D16AB" w:rsidRDefault="007D16AB" w:rsidP="00F76781">
      <w:pPr>
        <w:spacing w:after="0" w:line="240" w:lineRule="auto"/>
      </w:pPr>
      <w:r w:rsidRPr="007D16AB">
        <w:t>коммерческой недвижимости и бизнеса</w:t>
      </w:r>
    </w:p>
    <w:p w:rsidR="00F76781" w:rsidRPr="007D16AB" w:rsidRDefault="00F76781" w:rsidP="00F76781">
      <w:pPr>
        <w:spacing w:after="0" w:line="240" w:lineRule="auto"/>
      </w:pPr>
    </w:p>
    <w:p w:rsidR="007D16AB" w:rsidRPr="00DD11A4" w:rsidRDefault="007D16AB" w:rsidP="007D16AB">
      <w:pPr>
        <w:rPr>
          <w:color w:val="C00000"/>
        </w:rPr>
      </w:pPr>
      <w:proofErr w:type="spellStart"/>
      <w:r w:rsidRPr="00DD11A4">
        <w:rPr>
          <w:b/>
          <w:bCs/>
          <w:color w:val="C00000"/>
          <w:lang w:val="en-US"/>
        </w:rPr>
        <w:t>andrey</w:t>
      </w:r>
      <w:proofErr w:type="spellEnd"/>
      <w:r w:rsidRPr="00DD11A4">
        <w:rPr>
          <w:b/>
          <w:bCs/>
          <w:color w:val="C00000"/>
        </w:rPr>
        <w:t>.</w:t>
      </w:r>
      <w:proofErr w:type="spellStart"/>
      <w:r w:rsidRPr="00DD11A4">
        <w:rPr>
          <w:b/>
          <w:bCs/>
          <w:color w:val="C00000"/>
          <w:lang w:val="en-US"/>
        </w:rPr>
        <w:t>eirich</w:t>
      </w:r>
      <w:proofErr w:type="spellEnd"/>
      <w:r w:rsidRPr="00DD11A4">
        <w:rPr>
          <w:b/>
          <w:bCs/>
          <w:color w:val="C00000"/>
        </w:rPr>
        <w:t>@</w:t>
      </w:r>
      <w:proofErr w:type="spellStart"/>
      <w:r w:rsidRPr="00DD11A4">
        <w:rPr>
          <w:b/>
          <w:bCs/>
          <w:color w:val="C00000"/>
          <w:lang w:val="en-US"/>
        </w:rPr>
        <w:t>dellc</w:t>
      </w:r>
      <w:proofErr w:type="spellEnd"/>
      <w:r w:rsidRPr="00DD11A4">
        <w:rPr>
          <w:b/>
          <w:bCs/>
          <w:color w:val="C00000"/>
        </w:rPr>
        <w:t>.</w:t>
      </w:r>
      <w:proofErr w:type="spellStart"/>
      <w:r w:rsidRPr="00DD11A4">
        <w:rPr>
          <w:b/>
          <w:bCs/>
          <w:color w:val="C00000"/>
          <w:lang w:val="en-US"/>
        </w:rPr>
        <w:t>ru</w:t>
      </w:r>
      <w:proofErr w:type="spellEnd"/>
      <w:r w:rsidRPr="00DD11A4">
        <w:rPr>
          <w:b/>
          <w:bCs/>
          <w:color w:val="C00000"/>
        </w:rPr>
        <w:t xml:space="preserve"> </w:t>
      </w:r>
    </w:p>
    <w:p w:rsidR="007D16AB" w:rsidRPr="007D16AB" w:rsidRDefault="007D16AB" w:rsidP="003450A9"/>
    <w:p w:rsidR="003450A9" w:rsidRPr="007D16AB" w:rsidRDefault="003450A9" w:rsidP="003450A9"/>
    <w:p w:rsidR="003450A9" w:rsidRPr="007D16AB" w:rsidRDefault="003450A9" w:rsidP="00E01BFB"/>
    <w:p w:rsidR="003450A9" w:rsidRPr="007D16AB" w:rsidRDefault="003450A9" w:rsidP="00E01BFB"/>
    <w:sectPr w:rsidR="003450A9" w:rsidRPr="007D16AB" w:rsidSect="00AB28A5">
      <w:footerReference w:type="default" r:id="rId48"/>
      <w:pgSz w:w="11906" w:h="16838"/>
      <w:pgMar w:top="534" w:right="850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692" w:rsidRDefault="00740692" w:rsidP="00E01BFB">
      <w:pPr>
        <w:spacing w:after="0" w:line="240" w:lineRule="auto"/>
      </w:pPr>
      <w:r>
        <w:separator/>
      </w:r>
    </w:p>
  </w:endnote>
  <w:endnote w:type="continuationSeparator" w:id="0">
    <w:p w:rsidR="00740692" w:rsidRDefault="00740692" w:rsidP="00E01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1571"/>
    </w:sdtPr>
    <w:sdtContent>
      <w:p w:rsidR="00D3261A" w:rsidRDefault="00833026" w:rsidP="00377100">
        <w:pPr>
          <w:pStyle w:val="ac"/>
          <w:jc w:val="right"/>
        </w:pPr>
        <w:r>
          <w:rPr>
            <w:noProof/>
            <w:lang w:eastAsia="zh-TW"/>
          </w:rPr>
          <w:pict>
            <v:group id="_x0000_s2051" style="position:absolute;left:0;text-align:left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10803;top:14982;width:659;height:288" filled="f" stroked="f">
                <v:textbox style="mso-next-textbox:#_x0000_s2052" inset="0,0,0,0">
                  <w:txbxContent>
                    <w:p w:rsidR="00377100" w:rsidRPr="00377100" w:rsidRDefault="00833026">
                      <w:pPr>
                        <w:jc w:val="center"/>
                        <w:rPr>
                          <w:color w:val="0070C0"/>
                        </w:rPr>
                      </w:pPr>
                      <w:r w:rsidRPr="00377100">
                        <w:rPr>
                          <w:color w:val="0070C0"/>
                        </w:rPr>
                        <w:fldChar w:fldCharType="begin"/>
                      </w:r>
                      <w:r w:rsidR="00377100" w:rsidRPr="00377100">
                        <w:rPr>
                          <w:color w:val="0070C0"/>
                        </w:rPr>
                        <w:instrText xml:space="preserve"> PAGE    \* MERGEFORMAT </w:instrText>
                      </w:r>
                      <w:r w:rsidRPr="00377100">
                        <w:rPr>
                          <w:color w:val="0070C0"/>
                        </w:rPr>
                        <w:fldChar w:fldCharType="separate"/>
                      </w:r>
                      <w:r w:rsidR="003D78EE">
                        <w:rPr>
                          <w:noProof/>
                          <w:color w:val="0070C0"/>
                        </w:rPr>
                        <w:t>29</w:t>
                      </w:r>
                      <w:r w:rsidRPr="00377100">
                        <w:rPr>
                          <w:color w:val="0070C0"/>
                        </w:rPr>
                        <w:fldChar w:fldCharType="end"/>
                      </w:r>
                    </w:p>
                  </w:txbxContent>
                </v:textbox>
              </v:shape>
              <v:group id="_x0000_s2053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4" type="#_x0000_t34" style="position:absolute;left:-8;top:14978;width:1260;height:230;flip:y" o:connectortype="elbow" adj=",1024457,257" strokecolor="#a5a5a5 [2092]"/>
                <v:shape id="_x0000_s2055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692" w:rsidRDefault="00740692" w:rsidP="00E01BFB">
      <w:pPr>
        <w:spacing w:after="0" w:line="240" w:lineRule="auto"/>
      </w:pPr>
      <w:r>
        <w:separator/>
      </w:r>
    </w:p>
  </w:footnote>
  <w:footnote w:type="continuationSeparator" w:id="0">
    <w:p w:rsidR="00740692" w:rsidRDefault="00740692" w:rsidP="00E01BFB">
      <w:pPr>
        <w:spacing w:after="0" w:line="240" w:lineRule="auto"/>
      </w:pPr>
      <w:r>
        <w:continuationSeparator/>
      </w:r>
    </w:p>
  </w:footnote>
  <w:footnote w:id="1">
    <w:p w:rsidR="00B70CA6" w:rsidRDefault="00B70CA6">
      <w:pPr>
        <w:pStyle w:val="a7"/>
      </w:pPr>
      <w:r>
        <w:rPr>
          <w:rStyle w:val="a9"/>
        </w:rPr>
        <w:footnoteRef/>
      </w:r>
      <w:r>
        <w:t xml:space="preserve"> </w:t>
      </w:r>
      <w:r w:rsidRPr="00B70CA6">
        <w:rPr>
          <w:b/>
          <w:bCs/>
          <w:sz w:val="18"/>
          <w:szCs w:val="18"/>
        </w:rPr>
        <w:t xml:space="preserve">Под арендным бизнесом </w:t>
      </w:r>
      <w:r w:rsidRPr="00B70CA6">
        <w:rPr>
          <w:sz w:val="18"/>
          <w:szCs w:val="18"/>
        </w:rPr>
        <w:t>в целях настоящего обзора понимается коммерческая недвижимость, которая сдана в  долгосрочную аренду и приносит постоянный положительный  доход от такой аренды собственнику недвижимости.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471E"/>
    <w:multiLevelType w:val="hybridMultilevel"/>
    <w:tmpl w:val="35AEBE78"/>
    <w:lvl w:ilvl="0" w:tplc="7428B92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3" type="connector" idref="#_x0000_s2054"/>
        <o:r id="V:Rule4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70DCA"/>
    <w:rsid w:val="0000199C"/>
    <w:rsid w:val="000F7BAC"/>
    <w:rsid w:val="00101D15"/>
    <w:rsid w:val="001063DA"/>
    <w:rsid w:val="00205126"/>
    <w:rsid w:val="00224125"/>
    <w:rsid w:val="00227240"/>
    <w:rsid w:val="00275224"/>
    <w:rsid w:val="002C1DF6"/>
    <w:rsid w:val="002C58A4"/>
    <w:rsid w:val="00320543"/>
    <w:rsid w:val="003450A9"/>
    <w:rsid w:val="00377100"/>
    <w:rsid w:val="003C232D"/>
    <w:rsid w:val="003D78EE"/>
    <w:rsid w:val="004514FD"/>
    <w:rsid w:val="004864F4"/>
    <w:rsid w:val="004B05A5"/>
    <w:rsid w:val="004C090D"/>
    <w:rsid w:val="004E349E"/>
    <w:rsid w:val="00514072"/>
    <w:rsid w:val="005342D4"/>
    <w:rsid w:val="00570DCA"/>
    <w:rsid w:val="00673369"/>
    <w:rsid w:val="00674337"/>
    <w:rsid w:val="0069632C"/>
    <w:rsid w:val="0069691F"/>
    <w:rsid w:val="00726A99"/>
    <w:rsid w:val="00740692"/>
    <w:rsid w:val="0076234D"/>
    <w:rsid w:val="007C1822"/>
    <w:rsid w:val="007D16AB"/>
    <w:rsid w:val="00833026"/>
    <w:rsid w:val="00881B32"/>
    <w:rsid w:val="008D294E"/>
    <w:rsid w:val="0091433D"/>
    <w:rsid w:val="009329E0"/>
    <w:rsid w:val="0094595C"/>
    <w:rsid w:val="0095328D"/>
    <w:rsid w:val="009724CA"/>
    <w:rsid w:val="009F6861"/>
    <w:rsid w:val="00A017E0"/>
    <w:rsid w:val="00A95672"/>
    <w:rsid w:val="00AB28A5"/>
    <w:rsid w:val="00AF7213"/>
    <w:rsid w:val="00B21BB7"/>
    <w:rsid w:val="00B6609E"/>
    <w:rsid w:val="00B70CA6"/>
    <w:rsid w:val="00BD3BF6"/>
    <w:rsid w:val="00C20291"/>
    <w:rsid w:val="00C26992"/>
    <w:rsid w:val="00C646A4"/>
    <w:rsid w:val="00CC244B"/>
    <w:rsid w:val="00CF3D78"/>
    <w:rsid w:val="00D14BBB"/>
    <w:rsid w:val="00D3261A"/>
    <w:rsid w:val="00D346D4"/>
    <w:rsid w:val="00DA47F8"/>
    <w:rsid w:val="00DD11A4"/>
    <w:rsid w:val="00E01BFB"/>
    <w:rsid w:val="00E53DF3"/>
    <w:rsid w:val="00E544AC"/>
    <w:rsid w:val="00E749FF"/>
    <w:rsid w:val="00F30D9A"/>
    <w:rsid w:val="00F44425"/>
    <w:rsid w:val="00F76781"/>
    <w:rsid w:val="00FA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70D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58A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E01B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01BF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01BFB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D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3261A"/>
  </w:style>
  <w:style w:type="paragraph" w:styleId="ac">
    <w:name w:val="footer"/>
    <w:basedOn w:val="a"/>
    <w:link w:val="ad"/>
    <w:uiPriority w:val="99"/>
    <w:unhideWhenUsed/>
    <w:rsid w:val="00D3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26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chart" Target="charts/chart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footer" Target="footer1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Delphi\&#1055;&#1088;&#1086;&#1076;&#1072;&#1078;&#1072;%20&#1073;&#1080;&#1079;&#1085;&#1077;&#1089;&#1072;\&#1041;&#1080;&#1079;&#1085;&#1077;&#1089;%20(&#1080;&#1102;&#1083;&#1100;%20201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866139781204"/>
          <c:y val="6.2500181652778833E-2"/>
          <c:w val="0.85422366239083913"/>
          <c:h val="0.80952616235980035"/>
        </c:manualLayout>
      </c:layout>
      <c:barChart>
        <c:barDir val="col"/>
        <c:grouping val="stack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tx2"/>
              </a:solidFill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mtClean="0"/>
                      <a:t>700</a:t>
                    </a:r>
                    <a:endParaRPr lang="en-US" dirty="0"/>
                  </a:p>
                </c:rich>
              </c:tx>
              <c:dLblPos val="ct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3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2011'!$B$4:$B$5,'Июль 2011-3-й кваптал 2011'!$F$4:$F$5,'Июль 2011-3-й кваптал 2011'!$J$4:$J$5)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2011'!$B$29,'Июль 2011-3-й кваптал 2011'!$F$29,'Июль 2011-3-й кваптал 2011'!$J$29)</c:f>
              <c:numCache>
                <c:formatCode>General</c:formatCode>
                <c:ptCount val="3"/>
                <c:pt idx="0">
                  <c:v>469</c:v>
                </c:pt>
                <c:pt idx="1">
                  <c:v>615</c:v>
                </c:pt>
                <c:pt idx="2" formatCode="0.0">
                  <c:v>700</c:v>
                </c:pt>
              </c:numCache>
            </c:numRef>
          </c:val>
        </c:ser>
        <c:dLbls>
          <c:showVal val="1"/>
        </c:dLbls>
        <c:gapWidth val="100"/>
        <c:overlap val="100"/>
        <c:axId val="88290048"/>
        <c:axId val="117210112"/>
      </c:barChart>
      <c:catAx>
        <c:axId val="88290048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200" b="1">
                <a:solidFill>
                  <a:schemeClr val="accent1"/>
                </a:solidFill>
              </a:defRPr>
            </a:pPr>
            <a:endParaRPr lang="ru-RU"/>
          </a:p>
        </c:txPr>
        <c:crossAx val="117210112"/>
        <c:crosses val="autoZero"/>
        <c:auto val="1"/>
        <c:lblAlgn val="ctr"/>
        <c:lblOffset val="100"/>
        <c:tickLblSkip val="1"/>
        <c:tickMarkSkip val="1"/>
      </c:catAx>
      <c:valAx>
        <c:axId val="117210112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chemeClr val="accent1"/>
                    </a:solidFill>
                    <a:latin typeface="Arial" pitchFamily="34" charset="0"/>
                    <a:cs typeface="Arial" pitchFamily="34" charset="0"/>
                  </a:defRPr>
                </a:pPr>
                <a:r>
                  <a:rPr lang="ru-RU" sz="1100">
                    <a:solidFill>
                      <a:schemeClr val="accent1"/>
                    </a:solidFill>
                    <a:latin typeface="Arial" pitchFamily="34" charset="0"/>
                    <a:cs typeface="Arial" pitchFamily="34" charset="0"/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6773672521715E-3"/>
              <c:y val="0.12804889302381872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>
            <a:noFill/>
          </a:ln>
        </c:spPr>
        <c:txPr>
          <a:bodyPr rot="0" vert="horz"/>
          <a:lstStyle/>
          <a:p>
            <a:pPr>
              <a:defRPr>
                <a:solidFill>
                  <a:schemeClr val="accent1"/>
                </a:solidFill>
              </a:defRPr>
            </a:pPr>
            <a:endParaRPr lang="ru-RU"/>
          </a:p>
        </c:txPr>
        <c:crossAx val="88290048"/>
        <c:crosses val="max"/>
        <c:crossBetween val="between"/>
      </c:valAx>
    </c:plotArea>
    <c:plotVisOnly val="1"/>
    <c:dispBlanksAs val="gap"/>
  </c:chart>
  <c:spPr>
    <a:ln w="0"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3974323365779937"/>
          <c:y val="4.4568245125348446E-2"/>
          <c:w val="0.84023612760975253"/>
          <c:h val="0.72701949860724235"/>
        </c:manualLayout>
      </c:layout>
      <c:barChart>
        <c:barDir val="col"/>
        <c:grouping val="stacked"/>
        <c:ser>
          <c:idx val="0"/>
          <c:order val="0"/>
          <c:tx>
            <c:v>Москва/МО</c:v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2011'!$B$313:$B$314,'Июль 2011-3-й кваптал 2011'!$F$313:$F$314,'Июль 2011-3-й кваптал 2011'!$J$313:$J$314)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2011'!$B$245,'Июль 2011-3-й кваптал 2011'!$F$245,'Июль 2011-3-й кваптал 2011'!$J$245)</c:f>
              <c:numCache>
                <c:formatCode>General</c:formatCode>
                <c:ptCount val="3"/>
                <c:pt idx="0">
                  <c:v>131</c:v>
                </c:pt>
                <c:pt idx="1">
                  <c:v>158</c:v>
                </c:pt>
                <c:pt idx="2">
                  <c:v>179</c:v>
                </c:pt>
              </c:numCache>
            </c:numRef>
          </c:val>
        </c:ser>
        <c:ser>
          <c:idx val="1"/>
          <c:order val="1"/>
          <c:tx>
            <c:v>ЦФО (без Москвы/МО)</c:v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2011'!$B$313:$B$314,'Июль 2011-3-й кваптал 2011'!$F$313:$F$314,'Июль 2011-3-й кваптал 2011'!$J$313:$J$314)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2011'!$B$335,'Июль 2011-3-й кваптал 2011'!$F$335,'Июль 2011-3-й кваптал 2011'!$J$335)</c:f>
              <c:numCache>
                <c:formatCode>0</c:formatCode>
                <c:ptCount val="3"/>
                <c:pt idx="0">
                  <c:v>59</c:v>
                </c:pt>
                <c:pt idx="1">
                  <c:v>74</c:v>
                </c:pt>
                <c:pt idx="2">
                  <c:v>90</c:v>
                </c:pt>
              </c:numCache>
            </c:numRef>
          </c:val>
        </c:ser>
        <c:dLbls>
          <c:showVal val="1"/>
        </c:dLbls>
        <c:overlap val="100"/>
        <c:axId val="65894656"/>
        <c:axId val="65900544"/>
      </c:barChart>
      <c:catAx>
        <c:axId val="65894656"/>
        <c:scaling>
          <c:orientation val="maxMin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solidFill>
                  <a:schemeClr val="accent1"/>
                </a:solidFill>
              </a:defRPr>
            </a:pPr>
            <a:endParaRPr lang="ru-RU"/>
          </a:p>
        </c:txPr>
        <c:crossAx val="65900544"/>
        <c:crosses val="autoZero"/>
        <c:auto val="1"/>
        <c:lblAlgn val="ctr"/>
        <c:lblOffset val="100"/>
      </c:catAx>
      <c:valAx>
        <c:axId val="65900544"/>
        <c:scaling>
          <c:orientation val="minMax"/>
        </c:scaling>
        <c:axPos val="l"/>
        <c:majorGridlines>
          <c:spPr>
            <a:ln>
              <a:solidFill>
                <a:schemeClr val="accent1"/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ru-RU" sz="1200">
                    <a:solidFill>
                      <a:schemeClr val="accent1"/>
                    </a:solidFill>
                  </a:rPr>
                  <a:t>Количество</a:t>
                </a:r>
                <a:r>
                  <a:rPr lang="ru-RU" sz="1200" baseline="0">
                    <a:solidFill>
                      <a:schemeClr val="accent1"/>
                    </a:solidFill>
                  </a:rPr>
                  <a:t> предложений</a:t>
                </a:r>
                <a:endParaRPr lang="ru-RU" sz="1200">
                  <a:solidFill>
                    <a:schemeClr val="accent1"/>
                  </a:solidFill>
                </a:endParaRPr>
              </a:p>
            </c:rich>
          </c:tx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200">
                <a:solidFill>
                  <a:schemeClr val="accent1"/>
                </a:solidFill>
              </a:defRPr>
            </a:pPr>
            <a:endParaRPr lang="ru-RU"/>
          </a:p>
        </c:txPr>
        <c:crossAx val="6589465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31928362812215288"/>
          <c:y val="0.90807812511174457"/>
          <c:w val="0.52418598788168758"/>
          <c:h val="6.6852324658327814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6576023660675679"/>
          <c:y val="4.456824512534846E-2"/>
          <c:w val="0.8338932109170557"/>
          <c:h val="0.72701949860724235"/>
        </c:manualLayout>
      </c:layout>
      <c:barChart>
        <c:barDir val="col"/>
        <c:grouping val="stacked"/>
        <c:ser>
          <c:idx val="0"/>
          <c:order val="0"/>
          <c:tx>
            <c:v>Москва/МО</c:v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smtClean="0"/>
                      <a:t>11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840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smtClean="0"/>
                      <a:t>17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087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smtClean="0"/>
                      <a:t>19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164</a:t>
                    </a:r>
                    <a:endParaRPr lang="en-US" dirty="0"/>
                  </a:p>
                </c:rich>
              </c:tx>
              <c:dLblPos val="ct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2011'!$N$313:$N$314,'Июль 2011-3-й кваптал 2011'!$R$313:$R$314,'Июль 2011-3-й кваптал 2011'!$V$313:$V$314)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2011'!$N$245,'Июль 2011-3-й кваптал 2011'!$R$245,'Июль 2011-3-й кваптал 2011'!$V$245)</c:f>
              <c:numCache>
                <c:formatCode>0</c:formatCode>
                <c:ptCount val="3"/>
                <c:pt idx="0">
                  <c:v>11840</c:v>
                </c:pt>
                <c:pt idx="1">
                  <c:v>17087.099999999951</c:v>
                </c:pt>
                <c:pt idx="2">
                  <c:v>19163.559999999943</c:v>
                </c:pt>
              </c:numCache>
            </c:numRef>
          </c:val>
        </c:ser>
        <c:ser>
          <c:idx val="1"/>
          <c:order val="1"/>
          <c:tx>
            <c:v>ЦФО (без Москвы/МО)</c:v>
          </c:tx>
          <c:spPr>
            <a:solidFill>
              <a:srgbClr val="C00000"/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smtClean="0"/>
                      <a:t>7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374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smtClean="0"/>
                      <a:t>6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857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smtClean="0"/>
                      <a:t>9</a:t>
                    </a:r>
                    <a:r>
                      <a:rPr lang="ru-RU" sz="1100" smtClean="0"/>
                      <a:t> </a:t>
                    </a:r>
                    <a:r>
                      <a:rPr lang="en-US" sz="1100" smtClean="0"/>
                      <a:t>946</a:t>
                    </a:r>
                    <a:endParaRPr lang="en-US"/>
                  </a:p>
                </c:rich>
              </c:tx>
              <c:dLblPos val="ct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2011'!$N$313:$N$314,'Июль 2011-3-й кваптал 2011'!$R$313:$R$314,'Июль 2011-3-й кваптал 2011'!$V$313:$V$314)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2011'!$N$335,'Июль 2011-3-й кваптал 2011'!$R$335,'Июль 2011-3-й кваптал 2011'!$V$335)</c:f>
              <c:numCache>
                <c:formatCode>0</c:formatCode>
                <c:ptCount val="3"/>
                <c:pt idx="0">
                  <c:v>7373.5</c:v>
                </c:pt>
                <c:pt idx="1">
                  <c:v>6857.1</c:v>
                </c:pt>
                <c:pt idx="2">
                  <c:v>9946.4</c:v>
                </c:pt>
              </c:numCache>
            </c:numRef>
          </c:val>
        </c:ser>
        <c:dLbls>
          <c:showVal val="1"/>
        </c:dLbls>
        <c:overlap val="100"/>
        <c:axId val="65918080"/>
        <c:axId val="65919616"/>
      </c:barChart>
      <c:catAx>
        <c:axId val="65918080"/>
        <c:scaling>
          <c:orientation val="maxMin"/>
        </c:scaling>
        <c:axPos val="b"/>
        <c:numFmt formatCode="\О\с\н\о\в\н\о\й" sourceLinked="1"/>
        <c:tickLblPos val="nextTo"/>
        <c:txPr>
          <a:bodyPr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5919616"/>
        <c:crosses val="autoZero"/>
        <c:auto val="1"/>
        <c:lblAlgn val="ctr"/>
        <c:lblOffset val="100"/>
      </c:catAx>
      <c:valAx>
        <c:axId val="65919616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spPr>
            <a:noFill/>
            <a:ln w="25400">
              <a:noFill/>
            </a:ln>
          </c:spPr>
        </c:title>
        <c:numFmt formatCode="0" sourceLinked="1"/>
        <c:tickLblPos val="nextTo"/>
        <c:spPr>
          <a:ln>
            <a:noFill/>
          </a:ln>
        </c:spPr>
        <c:txPr>
          <a:bodyPr/>
          <a:lstStyle/>
          <a:p>
            <a:pPr>
              <a:defRPr sz="1000">
                <a:solidFill>
                  <a:srgbClr val="0070C0"/>
                </a:solidFill>
              </a:defRPr>
            </a:pPr>
            <a:endParaRPr lang="ru-RU"/>
          </a:p>
        </c:txPr>
        <c:crossAx val="65918080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0.33607803366113242"/>
          <c:y val="0.90807787237977899"/>
          <c:w val="0.52035841395368365"/>
          <c:h val="6.6852456451073794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3743818972429547"/>
          <c:y val="2.6946147177540344E-2"/>
          <c:w val="0.8510172707728294"/>
          <c:h val="0.76048015367724553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2011'!$A$280:$A$283</c:f>
              <c:strCache>
                <c:ptCount val="4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</c:strCache>
            </c:strRef>
          </c:cat>
          <c:val>
            <c:numRef>
              <c:f>'Июль 2011-3-й кваптал 2011'!$B$280:$B$283</c:f>
              <c:numCache>
                <c:formatCode>General</c:formatCode>
                <c:ptCount val="4"/>
                <c:pt idx="0">
                  <c:v>76</c:v>
                </c:pt>
                <c:pt idx="1">
                  <c:v>24</c:v>
                </c:pt>
                <c:pt idx="2">
                  <c:v>27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accent1"/>
            </a:solidFill>
          </c:spPr>
          <c:cat>
            <c:strRef>
              <c:f>'Июль 2011-3-й кваптал 2011'!$A$280:$A$283</c:f>
              <c:strCache>
                <c:ptCount val="4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</c:strCache>
            </c:strRef>
          </c:cat>
          <c:val>
            <c:numRef>
              <c:f>'Июль 2011-3-й кваптал 2011'!$F$280:$F$283</c:f>
              <c:numCache>
                <c:formatCode>General</c:formatCode>
                <c:ptCount val="4"/>
                <c:pt idx="0">
                  <c:v>84</c:v>
                </c:pt>
                <c:pt idx="1">
                  <c:v>27</c:v>
                </c:pt>
                <c:pt idx="2">
                  <c:v>41</c:v>
                </c:pt>
                <c:pt idx="3">
                  <c:v>6</c:v>
                </c:pt>
              </c:numCache>
            </c:numRef>
          </c:val>
        </c:ser>
        <c:ser>
          <c:idx val="0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2011'!$A$280:$A$283</c:f>
              <c:strCache>
                <c:ptCount val="4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</c:strCache>
            </c:strRef>
          </c:cat>
          <c:val>
            <c:numRef>
              <c:f>'Июль 2011-3-й кваптал 2011'!$J$280:$J$283</c:f>
              <c:numCache>
                <c:formatCode>General</c:formatCode>
                <c:ptCount val="4"/>
                <c:pt idx="0">
                  <c:v>96</c:v>
                </c:pt>
                <c:pt idx="1">
                  <c:v>41</c:v>
                </c:pt>
                <c:pt idx="2">
                  <c:v>32</c:v>
                </c:pt>
                <c:pt idx="3">
                  <c:v>10</c:v>
                </c:pt>
              </c:numCache>
            </c:numRef>
          </c:val>
        </c:ser>
        <c:dLbls>
          <c:showVal val="1"/>
        </c:dLbls>
        <c:axId val="65807488"/>
        <c:axId val="65809408"/>
      </c:barChart>
      <c:catAx>
        <c:axId val="65807488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</a:t>
                </a:r>
                <a:r>
                  <a:rPr lang="ru-RU" baseline="0" dirty="0" smtClean="0"/>
                  <a:t>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8.1401211831163958E-2"/>
              <c:y val="1.0201247480438682E-3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65809408"/>
        <c:crosses val="autoZero"/>
        <c:auto val="1"/>
        <c:lblAlgn val="ctr"/>
        <c:lblOffset val="100"/>
        <c:tickLblSkip val="1"/>
        <c:tickMarkSkip val="1"/>
      </c:catAx>
      <c:valAx>
        <c:axId val="65809408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658074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000499636340865"/>
          <c:y val="0.93352490421455969"/>
          <c:w val="0.58426135691047953"/>
          <c:h val="6.6475095785440627E-2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5221346270467037"/>
          <c:y val="2.6946147177540344E-2"/>
          <c:w val="0.83505154639175261"/>
          <c:h val="0.76048015367724553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2011'!$A$342:$A$346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2011'!$B$342:$B$346</c:f>
              <c:numCache>
                <c:formatCode>General</c:formatCode>
                <c:ptCount val="5"/>
                <c:pt idx="0">
                  <c:v>29</c:v>
                </c:pt>
                <c:pt idx="1">
                  <c:v>16</c:v>
                </c:pt>
                <c:pt idx="2">
                  <c:v>11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accent1"/>
            </a:solidFill>
          </c:spPr>
          <c:cat>
            <c:strRef>
              <c:f>'Июль 2011-3-й кваптал 2011'!$A$342:$A$346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2011'!$F$342:$F$345</c:f>
              <c:numCache>
                <c:formatCode>General</c:formatCode>
                <c:ptCount val="4"/>
                <c:pt idx="0">
                  <c:v>36</c:v>
                </c:pt>
                <c:pt idx="1">
                  <c:v>18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er>
          <c:idx val="0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2011'!$A$342:$A$346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2011'!$J$342:$J$346</c:f>
              <c:numCache>
                <c:formatCode>General</c:formatCode>
                <c:ptCount val="5"/>
                <c:pt idx="0">
                  <c:v>45</c:v>
                </c:pt>
                <c:pt idx="1">
                  <c:v>15</c:v>
                </c:pt>
                <c:pt idx="2">
                  <c:v>28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65840256"/>
        <c:axId val="65842176"/>
      </c:barChart>
      <c:catAx>
        <c:axId val="6584025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</a:t>
                </a:r>
                <a:r>
                  <a:rPr lang="ru-RU" baseline="0" dirty="0" smtClean="0"/>
                  <a:t>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5.4434966759523397E-2"/>
              <c:y val="3.9083495227256919E-3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65842176"/>
        <c:crosses val="autoZero"/>
        <c:auto val="1"/>
        <c:lblAlgn val="ctr"/>
        <c:lblOffset val="100"/>
        <c:tickLblSkip val="1"/>
        <c:tickMarkSkip val="1"/>
      </c:catAx>
      <c:valAx>
        <c:axId val="65842176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65840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2660189327233935"/>
          <c:y val="0.87548680675270618"/>
          <c:w val="0.58700956082289157"/>
          <c:h val="0.12451319324729379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08117593549365"/>
          <c:y val="6.2500181652778722E-2"/>
          <c:w val="0.88152130552452279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48FC4"/>
              </a:solidFill>
            </c:spPr>
          </c:dPt>
          <c:dLbls>
            <c:dLbl>
              <c:idx val="0"/>
              <c:layout>
                <c:manualLayout>
                  <c:x val="2.8324431474037767E-3"/>
                  <c:y val="0.3422162473593243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2349198189988881E-3"/>
                  <c:y val="0.26555452774706967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8354349063010704E-7"/>
                  <c:y val="0.33739837398374445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7851"/>
                  <c:y val="0.76524504163051077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2011'!$B$399:$B$400,'Июль 2011-3-й кваптал 2011'!$F$399:$F$400,'Июль 2011-3-й кваптал 2011'!$J$399:$J$400)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2011'!$B$423,'Июль 2011-3-й кваптал 2011'!$F$423,'Июль 2011-3-й кваптал 2011'!$J$423)</c:f>
              <c:numCache>
                <c:formatCode>0</c:formatCode>
                <c:ptCount val="3"/>
                <c:pt idx="0">
                  <c:v>46</c:v>
                </c:pt>
                <c:pt idx="1">
                  <c:v>63</c:v>
                </c:pt>
                <c:pt idx="2">
                  <c:v>59</c:v>
                </c:pt>
              </c:numCache>
            </c:numRef>
          </c:val>
        </c:ser>
        <c:dLbls>
          <c:showVal val="1"/>
        </c:dLbls>
        <c:gapWidth val="100"/>
        <c:axId val="65863040"/>
        <c:axId val="66405504"/>
      </c:barChart>
      <c:catAx>
        <c:axId val="65863040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405504"/>
        <c:crosses val="autoZero"/>
        <c:auto val="1"/>
        <c:lblAlgn val="ctr"/>
        <c:lblOffset val="100"/>
        <c:tickLblSkip val="1"/>
        <c:tickMarkSkip val="1"/>
      </c:catAx>
      <c:valAx>
        <c:axId val="66405504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280703989681E-3"/>
              <c:y val="0.12804899387576654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5863040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5896723875756955"/>
          <c:y val="4.81806274020058E-2"/>
          <c:w val="0.55355871789142086"/>
          <c:h val="0.69616714087037346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('Графики 2-й квартал'!$A$321,'Графики 2-й квартал'!$A$324:$A$326,'Графики 2-й квартал'!$A$330,'Графики 2-й квартал'!$A$331)</c:f>
              <c:strCache>
                <c:ptCount val="6"/>
                <c:pt idx="0">
                  <c:v>Сельское хозяйство</c:v>
                </c:pt>
                <c:pt idx="1">
                  <c:v>Торговля</c:v>
                </c:pt>
                <c:pt idx="2">
                  <c:v>Услуги, отдых, здоровье</c:v>
                </c:pt>
                <c:pt idx="3">
                  <c:v>Общепит</c:v>
                </c:pt>
                <c:pt idx="4">
                  <c:v>Арендный бизнес</c:v>
                </c:pt>
                <c:pt idx="5">
                  <c:v>Прочее</c:v>
                </c:pt>
              </c:strCache>
            </c:strRef>
          </c:cat>
          <c:val>
            <c:numRef>
              <c:f>('Графики 2-й квартал'!$AK$321,'Графики 2-й квартал'!$AK$324:$AK$326,'Графики 2-й квартал'!$AK$330,'Графики 2-й квартал'!$AK$331)</c:f>
              <c:numCache>
                <c:formatCode>\О\с\н\о\в\н\о\й</c:formatCode>
                <c:ptCount val="6"/>
                <c:pt idx="0">
                  <c:v>4.7619047619047623E-2</c:v>
                </c:pt>
                <c:pt idx="1">
                  <c:v>7.9365079365079361E-2</c:v>
                </c:pt>
                <c:pt idx="2">
                  <c:v>0.38095238095238315</c:v>
                </c:pt>
                <c:pt idx="3">
                  <c:v>0.23809523809523925</c:v>
                </c:pt>
                <c:pt idx="4">
                  <c:v>6.3492063492063502E-2</c:v>
                </c:pt>
                <c:pt idx="5">
                  <c:v>0.19047619047619152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5.7575526354514704E-2"/>
          <c:y val="0.76629559741099285"/>
          <c:w val="0.93834662277426839"/>
          <c:h val="0.1702294204616102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plotArea>
      <c:layout>
        <c:manualLayout>
          <c:layoutTarget val="inner"/>
          <c:xMode val="edge"/>
          <c:yMode val="edge"/>
          <c:x val="0.24328972408083691"/>
          <c:y val="3.0343850683257472E-4"/>
          <c:w val="0.45158199268181681"/>
          <c:h val="0.69995208865681591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2011'!$A$403,'Июль 2011-3-й кваптал 2011'!$A$408,'Июль 2011-3-й кваптал 2011'!$A$415:$A$417,'Июль 2011-3-й кваптал 2011'!$A$422)</c:f>
              <c:strCache>
                <c:ptCount val="6"/>
                <c:pt idx="0">
                  <c:v>Пищевое производство</c:v>
                </c:pt>
                <c:pt idx="1">
                  <c:v>Топливо и полезные ископаемые</c:v>
                </c:pt>
                <c:pt idx="2">
                  <c:v>Торговля</c:v>
                </c:pt>
                <c:pt idx="3">
                  <c:v>Услуги, отдых, здоровье</c:v>
                </c:pt>
                <c:pt idx="4">
                  <c:v>Общепит</c:v>
                </c:pt>
                <c:pt idx="5">
                  <c:v>Прочее</c:v>
                </c:pt>
              </c:strCache>
            </c:strRef>
          </c:cat>
          <c:val>
            <c:numRef>
              <c:f>('Июль 2011-3-й кваптал 2011'!$BB$403,'Июль 2011-3-й кваптал 2011'!$BB$408,'Июль 2011-3-й кваптал 2011'!$BB$415,'Июль 2011-3-й кваптал 2011'!$BB$416,'Июль 2011-3-й кваптал 2011'!$BB$417,'Июль 2011-3-й кваптал 2011'!$BB$422)</c:f>
              <c:numCache>
                <c:formatCode>\О\с\н\о\в\н\о\й</c:formatCode>
                <c:ptCount val="6"/>
                <c:pt idx="0">
                  <c:v>0.10869565217391348</c:v>
                </c:pt>
                <c:pt idx="1">
                  <c:v>6.5217391304347824E-2</c:v>
                </c:pt>
                <c:pt idx="2">
                  <c:v>0.10869565217391348</c:v>
                </c:pt>
                <c:pt idx="3">
                  <c:v>0.26086956521739207</c:v>
                </c:pt>
                <c:pt idx="4">
                  <c:v>0.15217391304347827</c:v>
                </c:pt>
                <c:pt idx="5">
                  <c:v>0.30434782608695682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5.8192682891865202E-2"/>
          <c:y val="0.74894247861348939"/>
          <c:w val="0.94180737341607446"/>
          <c:h val="0.15174147316964803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3784290171462429"/>
          <c:y val="3.8575723548375442E-2"/>
          <c:w val="0.85252313786122458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48FC4"/>
              </a:solidFill>
            </c:spPr>
          </c:dPt>
          <c:dLbls>
            <c:dLbl>
              <c:idx val="0"/>
              <c:layout>
                <c:manualLayout>
                  <c:x val="2.7327018905245624E-4"/>
                  <c:y val="0.16830869825482342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2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060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2.8416303226678642E-3"/>
                  <c:y val="0.27752179913681202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 </a:t>
                    </a:r>
                    <a:r>
                      <a:rPr lang="en-US" dirty="0" smtClean="0"/>
                      <a:t>6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625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7.3494920317495813E-3"/>
                  <c:y val="0.17824913393461367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7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200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288"/>
                  <c:y val="0.6686930091185479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044"/>
                  <c:y val="0.76291793313070222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2011'!$N$399:$N$400,'Июль 2011-3-й кваптал 2011'!$R$399:$R$400,'Июль 2011-3-й кваптал 2011'!$V$399:$V$400)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2011'!$N$423,'Июль 2011-3-й кваптал 2011'!$R$423,'Июль 2011-3-й кваптал 2011'!$V$423)</c:f>
              <c:numCache>
                <c:formatCode>0</c:formatCode>
                <c:ptCount val="3"/>
                <c:pt idx="0">
                  <c:v>2060.1000000000004</c:v>
                </c:pt>
                <c:pt idx="1">
                  <c:v>6624.6399999999994</c:v>
                </c:pt>
                <c:pt idx="2">
                  <c:v>7199.5</c:v>
                </c:pt>
              </c:numCache>
            </c:numRef>
          </c:val>
        </c:ser>
        <c:dLbls>
          <c:showVal val="1"/>
        </c:dLbls>
        <c:gapWidth val="100"/>
        <c:axId val="66347776"/>
        <c:axId val="66349312"/>
      </c:barChart>
      <c:catAx>
        <c:axId val="66347776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349312"/>
        <c:crosses val="autoZero"/>
        <c:auto val="1"/>
        <c:lblAlgn val="ctr"/>
        <c:lblOffset val="100"/>
        <c:tickLblSkip val="1"/>
        <c:tickMarkSkip val="1"/>
      </c:catAx>
      <c:valAx>
        <c:axId val="66349312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r>
                  <a:rPr lang="ru-RU" sz="1100" b="1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2844992531697E-3"/>
              <c:y val="7.6047526705786905E-2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347776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580275229357798"/>
          <c:y val="1.4925373134328361E-2"/>
          <c:w val="0.72362385321101408"/>
          <c:h val="0.80298507462686564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2011'!$A$466:$A$470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2011'!$B$466:$B$470</c:f>
              <c:numCache>
                <c:formatCode>General</c:formatCode>
                <c:ptCount val="5"/>
                <c:pt idx="0">
                  <c:v>32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strRef>
              <c:f>'Июль 2011-3-й кваптал 2011'!$A$466:$A$470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2011'!$F$466:$F$470</c:f>
              <c:numCache>
                <c:formatCode>General</c:formatCode>
                <c:ptCount val="5"/>
                <c:pt idx="0">
                  <c:v>33</c:v>
                </c:pt>
                <c:pt idx="1">
                  <c:v>15</c:v>
                </c:pt>
                <c:pt idx="2">
                  <c:v>14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0"/>
          <c:order val="2"/>
          <c:tx>
            <c:v>1-й кв. 2011</c:v>
          </c:tx>
          <c:spPr>
            <a:solidFill>
              <a:schemeClr val="accent1">
                <a:lumMod val="60000"/>
                <a:lumOff val="40000"/>
              </a:schemeClr>
            </a:solidFill>
          </c:spPr>
          <c:cat>
            <c:strRef>
              <c:f>'Июль 2011-3-й кваптал 2011'!$A$466:$A$470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2011'!$J$466:$J$470</c:f>
              <c:numCache>
                <c:formatCode>General</c:formatCode>
                <c:ptCount val="5"/>
                <c:pt idx="0">
                  <c:v>21</c:v>
                </c:pt>
                <c:pt idx="1">
                  <c:v>18</c:v>
                </c:pt>
                <c:pt idx="2">
                  <c:v>16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66257280"/>
        <c:axId val="66259200"/>
      </c:barChart>
      <c:catAx>
        <c:axId val="66257280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</a:t>
                </a:r>
                <a:r>
                  <a:rPr lang="ru-RU" baseline="0" dirty="0" smtClean="0"/>
                  <a:t>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1.5955087388528615E-3"/>
              <c:y val="0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259200"/>
        <c:crosses val="autoZero"/>
        <c:auto val="1"/>
        <c:lblAlgn val="ctr"/>
        <c:lblOffset val="100"/>
        <c:tickLblSkip val="1"/>
        <c:tickMarkSkip val="1"/>
      </c:catAx>
      <c:valAx>
        <c:axId val="66259200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25728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2883394287324399"/>
          <c:y val="0.89253731343283549"/>
          <c:w val="0.58435890733129758"/>
          <c:h val="0.10746268656716419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1780492526974128"/>
          <c:y val="6.2500181652778722E-2"/>
          <c:w val="0.87183409359744501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48FC4"/>
              </a:solidFill>
            </c:spPr>
          </c:dPt>
          <c:dLbls>
            <c:dLbl>
              <c:idx val="0"/>
              <c:layout>
                <c:manualLayout>
                  <c:x val="4.9901043922907862E-3"/>
                  <c:y val="0.24085186720081037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5.1914141800236341E-3"/>
                  <c:y val="0.2519147825820026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3976335482336781E-7"/>
                  <c:y val="0.23993246458227907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7906"/>
                  <c:y val="0.7652450416305112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2011'!$B$490:$B$491,'Июль 2011-3-й кваптал 2011'!$F$490:$F$491,'Июль 2011-3-й кваптал 2011'!$J$490:$J$491)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2011'!$B$515,'Июль 2011-3-й кваптал 2011'!$F$515,'Июль 2011-3-й кваптал 2011'!$J$515)</c:f>
              <c:numCache>
                <c:formatCode>0</c:formatCode>
                <c:ptCount val="3"/>
                <c:pt idx="0">
                  <c:v>72</c:v>
                </c:pt>
                <c:pt idx="1">
                  <c:v>98</c:v>
                </c:pt>
                <c:pt idx="2">
                  <c:v>118</c:v>
                </c:pt>
              </c:numCache>
            </c:numRef>
          </c:val>
        </c:ser>
        <c:dLbls>
          <c:showVal val="1"/>
        </c:dLbls>
        <c:gapWidth val="100"/>
        <c:axId val="66292352"/>
        <c:axId val="66306432"/>
      </c:barChart>
      <c:catAx>
        <c:axId val="66292352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306432"/>
        <c:crosses val="autoZero"/>
        <c:auto val="1"/>
        <c:lblAlgn val="ctr"/>
        <c:lblOffset val="100"/>
        <c:tickLblSkip val="1"/>
        <c:tickMarkSkip val="1"/>
      </c:catAx>
      <c:valAx>
        <c:axId val="66306432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 dirty="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280703989681E-3"/>
              <c:y val="0.12804899387576654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292352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8643870299133494"/>
          <c:y val="4.7477813598000497E-2"/>
          <c:w val="0.81356129700866553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1"/>
            <c:spPr>
              <a:solidFill>
                <a:schemeClr val="tx2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mtClean="0"/>
                      <a:t>45</a:t>
                    </a:r>
                    <a:r>
                      <a:rPr lang="ru-RU" smtClean="0"/>
                      <a:t> </a:t>
                    </a:r>
                    <a:r>
                      <a:rPr lang="en-US" smtClean="0"/>
                      <a:t>006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mtClean="0"/>
                      <a:t>78</a:t>
                    </a:r>
                    <a:r>
                      <a:rPr lang="ru-RU" smtClean="0"/>
                      <a:t> </a:t>
                    </a:r>
                    <a:r>
                      <a:rPr lang="en-US" smtClean="0"/>
                      <a:t>571</a:t>
                    </a:r>
                    <a:endParaRPr lang="en-US"/>
                  </a:p>
                </c:rich>
              </c:tx>
              <c:dLblPos val="ctr"/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mtClean="0"/>
                      <a:t>90</a:t>
                    </a:r>
                    <a:r>
                      <a:rPr lang="ru-RU" smtClean="0"/>
                      <a:t> </a:t>
                    </a:r>
                    <a:r>
                      <a:rPr lang="en-US" smtClean="0"/>
                      <a:t>235</a:t>
                    </a:r>
                    <a:endParaRPr lang="en-US"/>
                  </a:p>
                </c:rich>
              </c:tx>
              <c:dLblPos val="ctr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ctr"/>
            <c:showVal val="1"/>
          </c:dLbls>
          <c:cat>
            <c:strRef>
              <c:f>('Июль 2011-3-й кваптал 2011'!$N$4:$N$5,'Июль 2011-3-й кваптал 2011'!$R$4:$R$5,'Июль 2011-3-й кваптал 2011'!$V$4:$V$5)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2011'!$N$29,'Июль 2011-3-й кваптал 2011'!$R$29,'Июль 2011-3-й кваптал 2011'!$V$29)</c:f>
              <c:numCache>
                <c:formatCode>0</c:formatCode>
                <c:ptCount val="3"/>
                <c:pt idx="0">
                  <c:v>45006</c:v>
                </c:pt>
                <c:pt idx="1">
                  <c:v>78571.200000000012</c:v>
                </c:pt>
                <c:pt idx="2">
                  <c:v>90234.900000000009</c:v>
                </c:pt>
              </c:numCache>
            </c:numRef>
          </c:val>
        </c:ser>
        <c:dLbls>
          <c:showVal val="1"/>
        </c:dLbls>
        <c:gapWidth val="100"/>
        <c:axId val="117703424"/>
        <c:axId val="117814016"/>
      </c:barChart>
      <c:catAx>
        <c:axId val="117703424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117814016"/>
        <c:crosses val="autoZero"/>
        <c:auto val="1"/>
        <c:lblAlgn val="ctr"/>
        <c:lblOffset val="100"/>
        <c:tickLblSkip val="1"/>
        <c:tickMarkSkip val="1"/>
      </c:catAx>
      <c:valAx>
        <c:axId val="117814016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000">
                    <a:solidFill>
                      <a:srgbClr val="0070C0"/>
                    </a:solidFill>
                    <a:latin typeface="Arial" pitchFamily="34" charset="0"/>
                    <a:cs typeface="Arial" pitchFamily="34" charset="0"/>
                  </a:defRPr>
                </a:pPr>
                <a:r>
                  <a:rPr lang="ru-RU" sz="1000">
                    <a:solidFill>
                      <a:srgbClr val="0070C0"/>
                    </a:solidFill>
                    <a:latin typeface="Arial" pitchFamily="34" charset="0"/>
                    <a:cs typeface="Arial" pitchFamily="34" charset="0"/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395494238226E-3"/>
              <c:y val="0.10811459835126259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>
            <a:noFill/>
          </a:ln>
        </c:spPr>
        <c:txPr>
          <a:bodyPr rot="0" vert="horz"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117703424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0019189654273437"/>
          <c:y val="1.3603523998403061E-2"/>
          <c:w val="0.43099365509983173"/>
          <c:h val="0.67335180582428622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0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('Графики 2-й квартал'!$A$401,'Графики 2-й квартал'!$A$403,'Графики 2-й квартал'!$A$407,'Графики 2-й квартал'!$A$409,'Графики 2-й квартал'!$A$413,'Графики 2-й квартал'!$A$416:$A$418,'Графики 2-й квартал'!$A$422,'Графики 2-й квартал'!$A$424)</c:f>
              <c:strCache>
                <c:ptCount val="10"/>
                <c:pt idx="0">
                  <c:v>Деревобработка</c:v>
                </c:pt>
                <c:pt idx="1">
                  <c:v>Пищевое производство</c:v>
                </c:pt>
                <c:pt idx="2">
                  <c:v>Производство стройматериалов</c:v>
                </c:pt>
                <c:pt idx="3">
                  <c:v>Химия</c:v>
                </c:pt>
                <c:pt idx="4">
                  <c:v>Сельское хозяйство</c:v>
                </c:pt>
                <c:pt idx="5">
                  <c:v>Торговля</c:v>
                </c:pt>
                <c:pt idx="6">
                  <c:v>Услуги, отдых, здоровье</c:v>
                </c:pt>
                <c:pt idx="7">
                  <c:v>Общепит</c:v>
                </c:pt>
                <c:pt idx="8">
                  <c:v>Арендный бизнес</c:v>
                </c:pt>
                <c:pt idx="9">
                  <c:v>Прочие</c:v>
                </c:pt>
              </c:strCache>
            </c:strRef>
          </c:cat>
          <c:val>
            <c:numRef>
              <c:f>('Графики 2-й квартал'!$AK$401,'Графики 2-й квартал'!$AK$403,'Графики 2-й квартал'!$AK$407,'Графики 2-й квартал'!$AK$409,'Графики 2-й квартал'!$AK$413,'Графики 2-й квартал'!$AK$416:$AK$418,'Графики 2-й квартал'!$AK$422,'Графики 2-й квартал'!$AK$424)</c:f>
              <c:numCache>
                <c:formatCode>\О\с\н\о\в\н\о\й</c:formatCode>
                <c:ptCount val="10"/>
                <c:pt idx="0">
                  <c:v>9.1836734693877556E-2</c:v>
                </c:pt>
                <c:pt idx="1">
                  <c:v>0.16326530612245008</c:v>
                </c:pt>
                <c:pt idx="2">
                  <c:v>6.1224489795918373E-2</c:v>
                </c:pt>
                <c:pt idx="3">
                  <c:v>8.1632653061224497E-2</c:v>
                </c:pt>
                <c:pt idx="4">
                  <c:v>7.1428571428571425E-2</c:v>
                </c:pt>
                <c:pt idx="5">
                  <c:v>4.0816326530612505E-2</c:v>
                </c:pt>
                <c:pt idx="6">
                  <c:v>0.18367346938775511</c:v>
                </c:pt>
                <c:pt idx="7">
                  <c:v>8.1632653061224497E-2</c:v>
                </c:pt>
                <c:pt idx="8">
                  <c:v>7.1428571428571425E-2</c:v>
                </c:pt>
                <c:pt idx="9">
                  <c:v>0.15306122448979662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8.8300220750551876E-3"/>
          <c:y val="0.71750767883696132"/>
          <c:w val="0.98697421100508165"/>
          <c:h val="0.28017903572486291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plotArea>
      <c:layout>
        <c:manualLayout>
          <c:layoutTarget val="inner"/>
          <c:xMode val="edge"/>
          <c:yMode val="edge"/>
          <c:x val="0.20019189654273445"/>
          <c:y val="1.3603523998403068E-2"/>
          <c:w val="0.44756406208277094"/>
          <c:h val="0.65413209073635659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0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2011'!$A$494,'Июль 2011-3-й кваптал 2011'!$A$498,'Июль 2011-3-й кваптал 2011'!$A$500,'Июль 2011-3-й кваптал 2011'!$A$504,'Июль 2011-3-й кваптал 2011'!$A$507:$A$510,'Июль 2011-3-й кваптал 2011'!$A$514,'Июль 2011-3-й кваптал 2011'!$A$516)</c:f>
              <c:strCache>
                <c:ptCount val="10"/>
                <c:pt idx="0">
                  <c:v>Пищевое производство</c:v>
                </c:pt>
                <c:pt idx="1">
                  <c:v>Производство стройматериалов</c:v>
                </c:pt>
                <c:pt idx="2">
                  <c:v>Химия</c:v>
                </c:pt>
                <c:pt idx="3">
                  <c:v>Сельское хозяйство</c:v>
                </c:pt>
                <c:pt idx="4">
                  <c:v>Торговля</c:v>
                </c:pt>
                <c:pt idx="5">
                  <c:v>Услуги, отдых, здоровье</c:v>
                </c:pt>
                <c:pt idx="6">
                  <c:v>Общепит</c:v>
                </c:pt>
                <c:pt idx="7">
                  <c:v>Развлечения</c:v>
                </c:pt>
                <c:pt idx="8">
                  <c:v>Арендный бизнес</c:v>
                </c:pt>
                <c:pt idx="9">
                  <c:v>Прочие</c:v>
                </c:pt>
              </c:strCache>
            </c:strRef>
          </c:cat>
          <c:val>
            <c:numRef>
              <c:f>('Июль 2011-3-й кваптал 2011'!$BB$494,'Июль 2011-3-й кваптал 2011'!$BB$498,'Июль 2011-3-й кваптал 2011'!$BB$500,'Июль 2011-3-й кваптал 2011'!$BB$504,'Июль 2011-3-й кваптал 2011'!$BB$507:$BB$510,'Июль 2011-3-й кваптал 2011'!$BB$514,'Июль 2011-3-й кваптал 2011'!$BB$516)</c:f>
              <c:numCache>
                <c:formatCode>\О\с\н\о\в\н\о\й</c:formatCode>
                <c:ptCount val="10"/>
                <c:pt idx="0">
                  <c:v>0.16666666666666666</c:v>
                </c:pt>
                <c:pt idx="1">
                  <c:v>0.125</c:v>
                </c:pt>
                <c:pt idx="2">
                  <c:v>6.9444444444444503E-2</c:v>
                </c:pt>
                <c:pt idx="3">
                  <c:v>8.3333333333333343E-2</c:v>
                </c:pt>
                <c:pt idx="4">
                  <c:v>4.1666666666666664E-2</c:v>
                </c:pt>
                <c:pt idx="5">
                  <c:v>0.1388888888888889</c:v>
                </c:pt>
                <c:pt idx="6">
                  <c:v>6.9444444444444503E-2</c:v>
                </c:pt>
                <c:pt idx="7">
                  <c:v>5.5555555555555455E-2</c:v>
                </c:pt>
                <c:pt idx="8">
                  <c:v>0.1388888888888889</c:v>
                </c:pt>
                <c:pt idx="9">
                  <c:v>0.11111111111111113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8.8300220750551876E-3"/>
          <c:y val="0.71694241950324689"/>
          <c:w val="0.98697421100508165"/>
          <c:h val="0.2830575804967539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37473663985268"/>
          <c:y val="3.8575723548375442E-2"/>
          <c:w val="0.85289232457955255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7313798889893123E-4"/>
                  <c:y val="0.24628145517418731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 </a:t>
                    </a:r>
                    <a:r>
                      <a:rPr lang="en-US" dirty="0" smtClean="0"/>
                      <a:t>5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656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2.8416303226678642E-3"/>
                  <c:y val="0.27752179913681213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10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002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2.8490332873926925E-7"/>
                  <c:y val="0.21364985163204789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 </a:t>
                    </a:r>
                    <a:r>
                      <a:rPr lang="en-US" dirty="0" smtClean="0"/>
                      <a:t>11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236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304"/>
                  <c:y val="0.6686930091185483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066"/>
                  <c:y val="0.76291793313070244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2011'!$N$490:$N$491,'Июль 2011-3-й кваптал 2011'!$R$490:$R$491,'Июль 2011-3-й кваптал 2011'!$V$490:$V$491)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2011'!$N$515,'Июль 2011-3-й кваптал 2011'!$R$515,'Июль 2011-3-й кваптал 2011'!$V$515)</c:f>
              <c:numCache>
                <c:formatCode>0</c:formatCode>
                <c:ptCount val="3"/>
                <c:pt idx="0">
                  <c:v>5656.3000000000011</c:v>
                </c:pt>
                <c:pt idx="1">
                  <c:v>10001.999999999973</c:v>
                </c:pt>
                <c:pt idx="2">
                  <c:v>11236.399999999969</c:v>
                </c:pt>
              </c:numCache>
            </c:numRef>
          </c:val>
        </c:ser>
        <c:dLbls>
          <c:showVal val="1"/>
        </c:dLbls>
        <c:gapWidth val="100"/>
        <c:axId val="66699264"/>
        <c:axId val="66700800"/>
      </c:barChart>
      <c:catAx>
        <c:axId val="66699264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700800"/>
        <c:crosses val="autoZero"/>
        <c:auto val="1"/>
        <c:lblAlgn val="ctr"/>
        <c:lblOffset val="100"/>
        <c:tickLblSkip val="1"/>
        <c:tickMarkSkip val="1"/>
      </c:catAx>
      <c:valAx>
        <c:axId val="66700800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r>
                  <a:rPr lang="ru-RU" sz="1100" b="1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546948250006E-3"/>
              <c:y val="0.10811467557653302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699264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580275229357798"/>
          <c:y val="1.4925373134328361E-2"/>
          <c:w val="0.72362385321101452"/>
          <c:h val="0.80298507462686564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2011'!$A$555:$A$559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2011'!$B$555:$B$559</c:f>
              <c:numCache>
                <c:formatCode>General</c:formatCode>
                <c:ptCount val="5"/>
                <c:pt idx="0">
                  <c:v>39</c:v>
                </c:pt>
                <c:pt idx="1">
                  <c:v>15</c:v>
                </c:pt>
                <c:pt idx="2">
                  <c:v>17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accent1"/>
            </a:solidFill>
          </c:spPr>
          <c:cat>
            <c:strRef>
              <c:f>'Июль 2011-3-й кваптал 2011'!$A$555:$A$559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2011'!$F$555:$F$559</c:f>
              <c:numCache>
                <c:formatCode>General</c:formatCode>
                <c:ptCount val="5"/>
                <c:pt idx="0">
                  <c:v>42</c:v>
                </c:pt>
                <c:pt idx="1">
                  <c:v>31</c:v>
                </c:pt>
                <c:pt idx="2">
                  <c:v>23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0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2011'!$A$555:$A$559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2011'!$J$555:$J$559</c:f>
              <c:numCache>
                <c:formatCode>General</c:formatCode>
                <c:ptCount val="5"/>
                <c:pt idx="0">
                  <c:v>59</c:v>
                </c:pt>
                <c:pt idx="1">
                  <c:v>30</c:v>
                </c:pt>
                <c:pt idx="2">
                  <c:v>26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66727296"/>
        <c:axId val="66741760"/>
      </c:barChart>
      <c:catAx>
        <c:axId val="6672729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</a:t>
                </a:r>
                <a:r>
                  <a:rPr lang="ru-RU" baseline="0" dirty="0" smtClean="0"/>
                  <a:t>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1.840635305202235E-4"/>
              <c:y val="2.16453412073491E-3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741760"/>
        <c:crosses val="autoZero"/>
        <c:auto val="1"/>
        <c:lblAlgn val="ctr"/>
        <c:lblOffset val="100"/>
        <c:tickLblSkip val="1"/>
        <c:tickMarkSkip val="1"/>
      </c:catAx>
      <c:valAx>
        <c:axId val="66741760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72729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0902214809355738"/>
          <c:y val="0.9083464566929137"/>
          <c:w val="0.64832210958286751"/>
          <c:h val="8.0011733827389186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2430905113107092"/>
          <c:y val="6.2500181652778722E-2"/>
          <c:w val="0.86532992060711345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8331167341946392E-3"/>
                  <c:y val="0.2096627833801477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5.1914141800236341E-3"/>
                  <c:y val="0.28310386640266488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3976335482336781E-7"/>
                  <c:y val="0.21654065171678141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7973"/>
                  <c:y val="0.76524504163051166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2011'!$B$580:$B$581,'Июль 2011-3-й кваптал 2011'!$F$580:$F$581,'Июль 2011-3-й кваптал 2011'!$J$580:$J$581)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2011'!$B$603,'Июль 2011-3-й кваптал 2011'!$F$603,'Июль 2011-3-й кваптал 2011'!$J$603)</c:f>
              <c:numCache>
                <c:formatCode>0</c:formatCode>
                <c:ptCount val="3"/>
                <c:pt idx="0">
                  <c:v>64</c:v>
                </c:pt>
                <c:pt idx="1">
                  <c:v>116</c:v>
                </c:pt>
                <c:pt idx="2">
                  <c:v>125</c:v>
                </c:pt>
              </c:numCache>
            </c:numRef>
          </c:val>
        </c:ser>
        <c:dLbls>
          <c:showVal val="1"/>
        </c:dLbls>
        <c:gapWidth val="100"/>
        <c:axId val="66766720"/>
        <c:axId val="66768256"/>
      </c:barChart>
      <c:catAx>
        <c:axId val="66766720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768256"/>
        <c:crosses val="autoZero"/>
        <c:auto val="1"/>
        <c:lblAlgn val="ctr"/>
        <c:lblOffset val="100"/>
        <c:tickLblSkip val="1"/>
        <c:tickMarkSkip val="1"/>
      </c:catAx>
      <c:valAx>
        <c:axId val="66768256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605935714247E-3"/>
              <c:y val="0.12297915232078878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766720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9720239417842564"/>
          <c:y val="2.242216142650821E-2"/>
          <c:w val="0.4513591082472318"/>
          <c:h val="0.67703866237084886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('Графики 2-й квартал'!$A$492,'Графики 2-й квартал'!$A$496,'Графики 2-й квартал'!$A$501,'Графики 2-й квартал'!$A$504:$A$506,'Графики 2-й квартал'!$A$510,'Графики 2-й квартал'!$A$512)</c:f>
              <c:strCache>
                <c:ptCount val="8"/>
                <c:pt idx="0">
                  <c:v>Пищевое производство</c:v>
                </c:pt>
                <c:pt idx="1">
                  <c:v>Производство стройматериалов</c:v>
                </c:pt>
                <c:pt idx="2">
                  <c:v>Сельское хозяйство</c:v>
                </c:pt>
                <c:pt idx="3">
                  <c:v>Торговля</c:v>
                </c:pt>
                <c:pt idx="4">
                  <c:v>Услуги, отдых, здоровье</c:v>
                </c:pt>
                <c:pt idx="5">
                  <c:v>Общепит</c:v>
                </c:pt>
                <c:pt idx="6">
                  <c:v>Арендный бизнес</c:v>
                </c:pt>
                <c:pt idx="7">
                  <c:v>Прочие</c:v>
                </c:pt>
              </c:strCache>
            </c:strRef>
          </c:cat>
          <c:val>
            <c:numRef>
              <c:f>('Графики 2-й квартал'!$AK$492,'Графики 2-й квартал'!$AK$496,'Графики 2-й квартал'!$AK$501,'Графики 2-й квартал'!$AK$504:$AK$506,'Графики 2-й квартал'!$AK$510,'Графики 2-й квартал'!$AK$512)</c:f>
              <c:numCache>
                <c:formatCode>\О\с\н\о\в\н\о\й</c:formatCode>
                <c:ptCount val="8"/>
                <c:pt idx="0">
                  <c:v>0.12931034482758624</c:v>
                </c:pt>
                <c:pt idx="1">
                  <c:v>6.0344827586206899E-2</c:v>
                </c:pt>
                <c:pt idx="2">
                  <c:v>0.19827586206896552</c:v>
                </c:pt>
                <c:pt idx="3">
                  <c:v>3.4482758620689655E-2</c:v>
                </c:pt>
                <c:pt idx="4">
                  <c:v>0.27586206896551851</c:v>
                </c:pt>
                <c:pt idx="5">
                  <c:v>6.0344827586206899E-2</c:v>
                </c:pt>
                <c:pt idx="6">
                  <c:v>9.4827586206896963E-2</c:v>
                </c:pt>
                <c:pt idx="7">
                  <c:v>0.14655172413793124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5851164299826827E-2"/>
          <c:y val="0.72284885012776445"/>
          <c:w val="0.95946741756618448"/>
          <c:h val="0.2572009360071102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9342295300522191"/>
          <c:y val="3.7599988890123616E-4"/>
          <c:w val="0.50249575443998284"/>
          <c:h val="0.70349405621597705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2011'!$A$584,'Июль 2011-3-й кваптал 2011'!$A$588,'Июль 2011-3-й кваптал 2011'!$A$593,'Июль 2011-3-й кваптал 2011'!$A$597,'Июль 2011-3-й кваптал 2011'!$A$599,'Июль 2011-3-й кваптал 2011'!$A$602,'Июль 2011-3-й кваптал 2011'!$A$604)</c:f>
              <c:strCache>
                <c:ptCount val="7"/>
                <c:pt idx="0">
                  <c:v>Пищевое производство</c:v>
                </c:pt>
                <c:pt idx="1">
                  <c:v>Производство стройматериалов</c:v>
                </c:pt>
                <c:pt idx="2">
                  <c:v>Сельское хозяйство</c:v>
                </c:pt>
                <c:pt idx="3">
                  <c:v>Услуги, отдых, здоровье</c:v>
                </c:pt>
                <c:pt idx="4">
                  <c:v>Развлечения</c:v>
                </c:pt>
                <c:pt idx="5">
                  <c:v>Арендный бизнес</c:v>
                </c:pt>
                <c:pt idx="6">
                  <c:v>Прочие</c:v>
                </c:pt>
              </c:strCache>
            </c:strRef>
          </c:cat>
          <c:val>
            <c:numRef>
              <c:f>('Июль 2011-3-й кваптал 2011'!$BB$584,'Июль 2011-3-й кваптал 2011'!$BB$588,'Июль 2011-3-й кваптал 2011'!$BB$593,'Июль 2011-3-й кваптал 2011'!$BB$597,'Июль 2011-3-й кваптал 2011'!$BB$599,'Июль 2011-3-й кваптал 2011'!$BB$602,'Июль 2011-3-й кваптал 2011'!$BB$604)</c:f>
              <c:numCache>
                <c:formatCode>\О\с\н\о\в\н\о\й</c:formatCode>
                <c:ptCount val="7"/>
                <c:pt idx="0">
                  <c:v>0.171875</c:v>
                </c:pt>
                <c:pt idx="1">
                  <c:v>0.140625</c:v>
                </c:pt>
                <c:pt idx="2">
                  <c:v>0.125</c:v>
                </c:pt>
                <c:pt idx="3">
                  <c:v>0.21875000000000036</c:v>
                </c:pt>
                <c:pt idx="4">
                  <c:v>9.3750000000000291E-2</c:v>
                </c:pt>
                <c:pt idx="5">
                  <c:v>9.3750000000000291E-2</c:v>
                </c:pt>
                <c:pt idx="6">
                  <c:v>0.15625000000000036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5851164299826841E-2"/>
          <c:y val="0.72284885012776445"/>
          <c:w val="0.95946741756618525"/>
          <c:h val="0.25720093600711025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3744363259485676"/>
          <c:y val="3.8575723548375442E-2"/>
          <c:w val="0.85292254437482595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7313798889893172E-4"/>
                  <c:y val="0.24628145517418745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8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389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2.8416303226678642E-3"/>
                  <c:y val="0.27752179913681246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 </a:t>
                    </a:r>
                    <a:r>
                      <a:rPr lang="en-US" dirty="0" smtClean="0"/>
                      <a:t>14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247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0"/>
                  <c:y val="0.16221562809099901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15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786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343"/>
                  <c:y val="0.6686930091185493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105"/>
                  <c:y val="0.76291793313070289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2011'!$N$580:$N$581,'Июль 2011-3-й кваптал 2011'!$R$580:$R$581,'Июль 2011-3-й кваптал 2011'!$V$580:$V$581)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2011'!$N$603,'Июль 2011-3-й кваптал 2011'!$R$603,'Июль 2011-3-й кваптал 2011'!$V$603)</c:f>
              <c:numCache>
                <c:formatCode>0</c:formatCode>
                <c:ptCount val="3"/>
                <c:pt idx="0">
                  <c:v>8388.9</c:v>
                </c:pt>
                <c:pt idx="1">
                  <c:v>14246.6</c:v>
                </c:pt>
                <c:pt idx="2">
                  <c:v>15786.2</c:v>
                </c:pt>
              </c:numCache>
            </c:numRef>
          </c:val>
        </c:ser>
        <c:dLbls>
          <c:showVal val="1"/>
        </c:dLbls>
        <c:gapWidth val="100"/>
        <c:axId val="66845696"/>
        <c:axId val="66929408"/>
      </c:barChart>
      <c:catAx>
        <c:axId val="66845696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929408"/>
        <c:crosses val="autoZero"/>
        <c:auto val="1"/>
        <c:lblAlgn val="ctr"/>
        <c:lblOffset val="100"/>
        <c:tickLblSkip val="1"/>
        <c:tickMarkSkip val="1"/>
      </c:catAx>
      <c:valAx>
        <c:axId val="66929408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 b="1">
                    <a:solidFill>
                      <a:schemeClr val="accent1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546948250006E-3"/>
              <c:y val="0.10811467557653309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50" b="1">
                <a:solidFill>
                  <a:srgbClr val="0070C0"/>
                </a:solidFill>
              </a:defRPr>
            </a:pPr>
            <a:endParaRPr lang="ru-RU"/>
          </a:p>
        </c:txPr>
        <c:crossAx val="66845696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580275229357798"/>
          <c:y val="1.4925373134328361E-2"/>
          <c:w val="0.7236238532110153"/>
          <c:h val="0.80298507462686564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2011'!$A$645:$A$649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2011'!$B$645:$B$649</c:f>
              <c:numCache>
                <c:formatCode>General</c:formatCode>
                <c:ptCount val="5"/>
                <c:pt idx="0">
                  <c:v>25</c:v>
                </c:pt>
                <c:pt idx="1">
                  <c:v>12</c:v>
                </c:pt>
                <c:pt idx="2">
                  <c:v>26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accent1"/>
            </a:solidFill>
          </c:spPr>
          <c:cat>
            <c:strRef>
              <c:f>'Июль 2011-3-й кваптал 2011'!$A$645:$A$649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2011'!$F$645:$F$649</c:f>
              <c:numCache>
                <c:formatCode>General</c:formatCode>
                <c:ptCount val="5"/>
                <c:pt idx="0">
                  <c:v>57</c:v>
                </c:pt>
                <c:pt idx="1">
                  <c:v>24</c:v>
                </c:pt>
                <c:pt idx="2">
                  <c:v>30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0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2011'!$A$645:$A$649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2011'!$J$645:$J$649</c:f>
              <c:numCache>
                <c:formatCode>General</c:formatCode>
                <c:ptCount val="5"/>
                <c:pt idx="0">
                  <c:v>68</c:v>
                </c:pt>
                <c:pt idx="1">
                  <c:v>27</c:v>
                </c:pt>
                <c:pt idx="2">
                  <c:v>25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axId val="66955904"/>
        <c:axId val="66974464"/>
      </c:barChart>
      <c:catAx>
        <c:axId val="66955904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1.1918702469883584E-3"/>
              <c:y val="5.4548500586362877E-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974464"/>
        <c:crosses val="autoZero"/>
        <c:auto val="1"/>
        <c:lblAlgn val="ctr"/>
        <c:lblOffset val="100"/>
        <c:tickLblSkip val="1"/>
        <c:tickMarkSkip val="1"/>
      </c:catAx>
      <c:valAx>
        <c:axId val="66974464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6955904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1880690839571163"/>
          <c:y val="0.90430199166280689"/>
          <c:w val="0.61958355205599303"/>
          <c:h val="9.5698008337193649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9.4462027198056728E-2"/>
          <c:y val="6.2500181652778722E-2"/>
          <c:w val="0.89517705917828261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8331167341946392E-3"/>
                  <c:y val="0.2096627833801477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5.1912938030940995E-3"/>
                  <c:y val="0.1700434375527645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8354349063010749E-7"/>
                  <c:y val="0.33739837398374545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8017"/>
                  <c:y val="0.765245041630512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2011'!$B$669:$B$670;'Июль 2011-3-й кваптал 2011'!$F$669:$F$670;'Июль 2011-3-й кваптал 2011'!$J$669:$J$670)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2011'!$B$694;'Июль 2011-3-й кваптал 2011'!$F$694;'Июль 2011-3-й кваптал 2011'!$J$694)</c:f>
              <c:numCache>
                <c:formatCode>0</c:formatCode>
                <c:ptCount val="3"/>
                <c:pt idx="0">
                  <c:v>55</c:v>
                </c:pt>
                <c:pt idx="1">
                  <c:v>63</c:v>
                </c:pt>
                <c:pt idx="2">
                  <c:v>52</c:v>
                </c:pt>
              </c:numCache>
            </c:numRef>
          </c:val>
        </c:ser>
        <c:dLbls>
          <c:showVal val="1"/>
        </c:dLbls>
        <c:gapWidth val="100"/>
        <c:axId val="66565248"/>
        <c:axId val="66566784"/>
      </c:barChart>
      <c:catAx>
        <c:axId val="66565248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566784"/>
        <c:crosses val="autoZero"/>
        <c:auto val="1"/>
        <c:lblAlgn val="ctr"/>
        <c:lblOffset val="100"/>
        <c:tickLblSkip val="1"/>
        <c:tickMarkSkip val="1"/>
      </c:catAx>
      <c:valAx>
        <c:axId val="66566784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280703989681E-3"/>
              <c:y val="0.12804899387576654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565248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9931747257541726"/>
          <c:y val="2.6946147177540361E-2"/>
          <c:w val="0.78703097903922858"/>
          <c:h val="0.76946220273642552"/>
        </c:manualLayout>
      </c:layout>
      <c:barChart>
        <c:barDir val="bar"/>
        <c:grouping val="clustered"/>
        <c:ser>
          <c:idx val="0"/>
          <c:order val="0"/>
          <c:tx>
            <c:v>3-й кв. 2011</c:v>
          </c:tx>
          <c:spPr>
            <a:solidFill>
              <a:schemeClr val="accent2"/>
            </a:solidFill>
          </c:spPr>
          <c:cat>
            <c:strRef>
              <c:f>'Июль 2011-3-й кваптал 2011'!$A$180:$A$184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2011'!$B$180:$B$184</c:f>
              <c:numCache>
                <c:formatCode>General</c:formatCode>
                <c:ptCount val="5"/>
                <c:pt idx="0">
                  <c:v>258</c:v>
                </c:pt>
                <c:pt idx="1">
                  <c:v>95</c:v>
                </c:pt>
                <c:pt idx="2">
                  <c:v>103</c:v>
                </c:pt>
                <c:pt idx="3">
                  <c:v>12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2-й кв. 2011</c:v>
          </c:tx>
          <c:spPr>
            <a:solidFill>
              <a:schemeClr val="accent1"/>
            </a:solidFill>
          </c:spPr>
          <c:cat>
            <c:strRef>
              <c:f>'Июль 2011-3-й кваптал 2011'!$A$180:$A$184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2011'!$F$180:$F$184</c:f>
              <c:numCache>
                <c:formatCode>General</c:formatCode>
                <c:ptCount val="5"/>
                <c:pt idx="0">
                  <c:v>304</c:v>
                </c:pt>
                <c:pt idx="1">
                  <c:v>136</c:v>
                </c:pt>
                <c:pt idx="2">
                  <c:v>153</c:v>
                </c:pt>
                <c:pt idx="3">
                  <c:v>14</c:v>
                </c:pt>
                <c:pt idx="4">
                  <c:v>8</c:v>
                </c:pt>
              </c:numCache>
            </c:numRef>
          </c:val>
        </c:ser>
        <c:ser>
          <c:idx val="2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2011'!$A$180:$A$184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2011'!$J$180:$J$184</c:f>
              <c:numCache>
                <c:formatCode>General</c:formatCode>
                <c:ptCount val="5"/>
                <c:pt idx="0">
                  <c:v>349</c:v>
                </c:pt>
                <c:pt idx="1">
                  <c:v>162</c:v>
                </c:pt>
                <c:pt idx="2">
                  <c:v>158</c:v>
                </c:pt>
                <c:pt idx="3">
                  <c:v>24</c:v>
                </c:pt>
                <c:pt idx="4">
                  <c:v>7</c:v>
                </c:pt>
              </c:numCache>
            </c:numRef>
          </c:val>
        </c:ser>
        <c:dLbls>
          <c:showVal val="1"/>
        </c:dLbls>
        <c:axId val="126081280"/>
        <c:axId val="126089472"/>
      </c:barChart>
      <c:catAx>
        <c:axId val="126081280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4.0083664047606077E-2"/>
              <c:y val="3.632403562137725E-3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126089472"/>
        <c:crosses val="autoZero"/>
        <c:auto val="1"/>
        <c:lblAlgn val="ctr"/>
        <c:lblOffset val="100"/>
        <c:tickLblSkip val="1"/>
        <c:tickMarkSkip val="1"/>
      </c:catAx>
      <c:valAx>
        <c:axId val="126089472"/>
        <c:scaling>
          <c:orientation val="minMax"/>
        </c:scaling>
        <c:axPos val="b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100" b="1">
                <a:solidFill>
                  <a:schemeClr val="accent1"/>
                </a:solidFill>
              </a:defRPr>
            </a:pPr>
            <a:endParaRPr lang="ru-RU"/>
          </a:p>
        </c:txPr>
        <c:crossAx val="1260812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8586145481814784"/>
          <c:y val="0.88508599567048074"/>
          <c:w val="0.68288854518185227"/>
          <c:h val="0.11491400432951923"/>
        </c:manualLayout>
      </c:layout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7958851170093804"/>
          <c:y val="1.3603523998403038E-2"/>
          <c:w val="0.45765101770301375"/>
          <c:h val="0.66359397566937128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('Графики 2-й квартал'!$A$579;'Графики 2-й квартал'!$A$581;'Графики 2-й квартал'!$A$585:$A$586;'Графики 2-й квартал'!$A$594:$A$595;'Графики 2-й квартал'!$A$600;'Графики 2-й квартал'!$A$602)</c:f>
              <c:strCache>
                <c:ptCount val="8"/>
                <c:pt idx="0">
                  <c:v>Деревобработка</c:v>
                </c:pt>
                <c:pt idx="1">
                  <c:v>Пищевое производство</c:v>
                </c:pt>
                <c:pt idx="2">
                  <c:v>Производство стройматериалов</c:v>
                </c:pt>
                <c:pt idx="3">
                  <c:v>Топливо и полезные ископаемые</c:v>
                </c:pt>
                <c:pt idx="4">
                  <c:v>Торговля</c:v>
                </c:pt>
                <c:pt idx="5">
                  <c:v>Услуги, отдых, здоровье</c:v>
                </c:pt>
                <c:pt idx="6">
                  <c:v>Арендный бизнес</c:v>
                </c:pt>
                <c:pt idx="7">
                  <c:v>Прочие</c:v>
                </c:pt>
              </c:strCache>
            </c:strRef>
          </c:cat>
          <c:val>
            <c:numRef>
              <c:f>('Графики 2-й квартал'!$AK$579;'Графики 2-й квартал'!$AK$581;'Графики 2-й квартал'!$AK$585:$AK$586;'Графики 2-й квартал'!$AK$594:$AK$595;'Графики 2-й квартал'!$AK$600;'Графики 2-й квартал'!$AK$602)</c:f>
              <c:numCache>
                <c:formatCode>\О\с\н\о\в\н\о\й</c:formatCode>
                <c:ptCount val="8"/>
                <c:pt idx="0">
                  <c:v>0.12698412698412698</c:v>
                </c:pt>
                <c:pt idx="1">
                  <c:v>0.1111111111111111</c:v>
                </c:pt>
                <c:pt idx="2">
                  <c:v>0.1111111111111111</c:v>
                </c:pt>
                <c:pt idx="3">
                  <c:v>4.7619047619047623E-2</c:v>
                </c:pt>
                <c:pt idx="4">
                  <c:v>9.5238095238095247E-2</c:v>
                </c:pt>
                <c:pt idx="5">
                  <c:v>0.20634920634920692</c:v>
                </c:pt>
                <c:pt idx="6">
                  <c:v>0.12698412698412698</c:v>
                </c:pt>
                <c:pt idx="7">
                  <c:v>0.17460317460317457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6244056762712785E-2"/>
          <c:y val="0.70218413231863164"/>
          <c:w val="0.98237914656148062"/>
          <c:h val="0.27786565381624306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7098311827786387"/>
          <c:y val="0"/>
          <c:w val="0.41160109194216532"/>
          <c:h val="0.68239128400937965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2011'!$A$673;'Июль 2011-3-й кваптал 2011'!$A$674;'Июль 2011-3-й кваптал 2011'!$A$677;'Июль 2011-3-й кваптал 2011'!$A$683;'Июль 2011-3-й кваптал 2011'!$A$686:$A$688;'Июль 2011-3-й кваптал 2011'!$A$693;'Июль 2011-3-й кваптал 2011'!$A$695)</c:f>
              <c:strCache>
                <c:ptCount val="9"/>
                <c:pt idx="0">
                  <c:v>Пищевое производство</c:v>
                </c:pt>
                <c:pt idx="1">
                  <c:v>Производство металлоконструкций</c:v>
                </c:pt>
                <c:pt idx="2">
                  <c:v>Производство стройматериалов</c:v>
                </c:pt>
                <c:pt idx="3">
                  <c:v>Сельское хозяйство</c:v>
                </c:pt>
                <c:pt idx="4">
                  <c:v>Торговля</c:v>
                </c:pt>
                <c:pt idx="5">
                  <c:v>Услуги, отдых, здоровье</c:v>
                </c:pt>
                <c:pt idx="6">
                  <c:v>Общепит</c:v>
                </c:pt>
                <c:pt idx="7">
                  <c:v>Арендный бизнес</c:v>
                </c:pt>
                <c:pt idx="8">
                  <c:v>Прочие</c:v>
                </c:pt>
              </c:strCache>
            </c:strRef>
          </c:cat>
          <c:val>
            <c:numRef>
              <c:f>('Июль 2011-3-й кваптал 2011'!$BB$673;'Июль 2011-3-й кваптал 2011'!$BB$674;'Июль 2011-3-й кваптал 2011'!$BB$677;'Июль 2011-3-й кваптал 2011'!$BB$683;'Июль 2011-3-й кваптал 2011'!$BB$686:$BB$688;'Июль 2011-3-й кваптал 2011'!$BB$693;'Июль 2011-3-й кваптал 2011'!$BB$695)</c:f>
              <c:numCache>
                <c:formatCode>\О\с\н\о\в\н\о\й</c:formatCode>
                <c:ptCount val="9"/>
                <c:pt idx="0">
                  <c:v>0.23636363636363636</c:v>
                </c:pt>
                <c:pt idx="1">
                  <c:v>5.4545454545454515E-2</c:v>
                </c:pt>
                <c:pt idx="2">
                  <c:v>0.14545454545454545</c:v>
                </c:pt>
                <c:pt idx="3">
                  <c:v>5.4545454545454515E-2</c:v>
                </c:pt>
                <c:pt idx="4">
                  <c:v>9.0909090909091064E-2</c:v>
                </c:pt>
                <c:pt idx="5">
                  <c:v>7.2727272727272724E-2</c:v>
                </c:pt>
                <c:pt idx="6">
                  <c:v>9.0909090909091064E-2</c:v>
                </c:pt>
                <c:pt idx="7">
                  <c:v>7.2727272727272724E-2</c:v>
                </c:pt>
                <c:pt idx="8">
                  <c:v>0.18181818181818232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70983487214871011"/>
          <c:w val="0.99422966168963978"/>
          <c:h val="0.2901651278512913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404040004944683"/>
          <c:y val="3.8575723548375442E-2"/>
          <c:w val="0.84996209341372164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7313798889893172E-4"/>
                  <c:y val="0.24628145517418745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6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029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9.1469057697267625E-4"/>
                  <c:y val="0.21026161047376496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 </a:t>
                    </a:r>
                    <a:r>
                      <a:rPr lang="en-US" dirty="0" smtClean="0"/>
                      <a:t>15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312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0"/>
                  <c:y val="0.16221562809099901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5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716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343"/>
                  <c:y val="0.6686930091185493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105"/>
                  <c:y val="0.76291793313070289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2011'!$N$669:$N$670;'Июль 2011-3-й кваптал 2011'!$R$669:$R$670;'Июль 2011-3-й кваптал 2011'!$V$669:$V$670)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2011'!$N$694;'Июль 2011-3-й кваптал 2011'!$R$694;'Июль 2011-3-й кваптал 2011'!$V$694)</c:f>
              <c:numCache>
                <c:formatCode>0</c:formatCode>
                <c:ptCount val="3"/>
                <c:pt idx="0">
                  <c:v>6028.7999999999993</c:v>
                </c:pt>
                <c:pt idx="1">
                  <c:v>15312.28</c:v>
                </c:pt>
                <c:pt idx="2">
                  <c:v>5716.24</c:v>
                </c:pt>
              </c:numCache>
            </c:numRef>
          </c:val>
        </c:ser>
        <c:dLbls>
          <c:showVal val="1"/>
        </c:dLbls>
        <c:gapWidth val="100"/>
        <c:axId val="66988288"/>
        <c:axId val="66990080"/>
      </c:barChart>
      <c:catAx>
        <c:axId val="66988288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990080"/>
        <c:crosses val="autoZero"/>
        <c:auto val="1"/>
        <c:lblAlgn val="ctr"/>
        <c:lblOffset val="100"/>
        <c:tickLblSkip val="1"/>
        <c:tickMarkSkip val="1"/>
      </c:catAx>
      <c:valAx>
        <c:axId val="66990080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 b="1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546948250006E-3"/>
              <c:y val="0.10811467557653302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988288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580275229357798"/>
          <c:y val="1.4925373134328361E-2"/>
          <c:w val="0.7236238532110153"/>
          <c:h val="0.80298507462686564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2011'!$A$738:$A$742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2011'!$B$738:$B$742</c:f>
              <c:numCache>
                <c:formatCode>General</c:formatCode>
                <c:ptCount val="5"/>
                <c:pt idx="0">
                  <c:v>30</c:v>
                </c:pt>
                <c:pt idx="1">
                  <c:v>11</c:v>
                </c:pt>
                <c:pt idx="2">
                  <c:v>11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v>2-й кв. 2011</c:v>
          </c:tx>
          <c:cat>
            <c:strRef>
              <c:f>'Июль 2011-3-й кваптал 2011'!$A$738:$A$742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2011'!$F$738:$F$742</c:f>
              <c:numCache>
                <c:formatCode>General</c:formatCode>
                <c:ptCount val="5"/>
                <c:pt idx="0">
                  <c:v>31</c:v>
                </c:pt>
                <c:pt idx="1">
                  <c:v>15</c:v>
                </c:pt>
                <c:pt idx="2">
                  <c:v>12</c:v>
                </c:pt>
                <c:pt idx="3">
                  <c:v>1</c:v>
                </c:pt>
                <c:pt idx="4">
                  <c:v>4</c:v>
                </c:pt>
              </c:numCache>
            </c:numRef>
          </c:val>
        </c:ser>
        <c:ser>
          <c:idx val="1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2011'!$A$738:$A$742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2011'!$J$738:$J$742</c:f>
              <c:numCache>
                <c:formatCode>General</c:formatCode>
                <c:ptCount val="5"/>
                <c:pt idx="0">
                  <c:v>26</c:v>
                </c:pt>
                <c:pt idx="1">
                  <c:v>10</c:v>
                </c:pt>
                <c:pt idx="2">
                  <c:v>13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axId val="67024768"/>
        <c:axId val="67039232"/>
      </c:barChart>
      <c:catAx>
        <c:axId val="67024768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0"/>
              <c:y val="5.4562650933520868E-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7039232"/>
        <c:crosses val="autoZero"/>
        <c:auto val="1"/>
        <c:lblAlgn val="ctr"/>
        <c:lblOffset val="100"/>
        <c:tickLblSkip val="1"/>
        <c:tickMarkSkip val="1"/>
      </c:catAx>
      <c:valAx>
        <c:axId val="67039232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702476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1057645572081388"/>
          <c:y val="0.89253728578045122"/>
          <c:w val="0.64921318168562259"/>
          <c:h val="0.10746271421954609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211845569347515"/>
          <c:y val="6.2500181652778722E-2"/>
          <c:w val="0.86845443098914965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8331167341946392E-3"/>
                  <c:y val="0.2096627833801477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5.191293803094103E-3"/>
                  <c:y val="0.17004343755276469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1.8354349063010765E-7"/>
                  <c:y val="0.33739837398374578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8084"/>
                  <c:y val="0.76524504163051255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2011'!$B$669:$B$670,'Июль 2011-3-й кваптал 2011'!$F$669:$F$670,'Июль 2011-3-й кваптал 2011'!$J$669:$J$670)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2011'!$B$796,'Июль 2011-3-й кваптал 2011'!$F$796,'Июль 2011-3-й кваптал 2011'!$J$796)</c:f>
              <c:numCache>
                <c:formatCode>0</c:formatCode>
                <c:ptCount val="3"/>
                <c:pt idx="0">
                  <c:v>35</c:v>
                </c:pt>
                <c:pt idx="1">
                  <c:v>39</c:v>
                </c:pt>
                <c:pt idx="2">
                  <c:v>69</c:v>
                </c:pt>
              </c:numCache>
            </c:numRef>
          </c:val>
        </c:ser>
        <c:dLbls>
          <c:showVal val="1"/>
        </c:dLbls>
        <c:gapWidth val="100"/>
        <c:axId val="66613632"/>
        <c:axId val="66615168"/>
      </c:barChart>
      <c:catAx>
        <c:axId val="66613632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615168"/>
        <c:crosses val="autoZero"/>
        <c:auto val="1"/>
        <c:lblAlgn val="ctr"/>
        <c:lblOffset val="100"/>
        <c:tickLblSkip val="1"/>
        <c:tickMarkSkip val="1"/>
      </c:catAx>
      <c:valAx>
        <c:axId val="66615168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280703989681E-3"/>
              <c:y val="0.12804899387576654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6613632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4402025766978269"/>
          <c:y val="2.1806685562069394E-2"/>
          <c:w val="0.48270678257971378"/>
          <c:h val="0.62864139126660434"/>
        </c:manualLayout>
      </c:layout>
      <c:doughnutChart>
        <c:varyColors val="1"/>
        <c:ser>
          <c:idx val="0"/>
          <c:order val="0"/>
          <c:dLbls>
            <c:numFmt formatCode="#,#00%" sourceLinked="0"/>
            <c:spPr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('Графики 2-й квартал'!$A$681;'Графики 2-й квартал'!$A$683;'Графики 2-й квартал'!$A$687:$A$688;'Графики 2-й квартал'!$A$693;'Графики 2-й квартал'!$A$696:$A$697;'Графики 2-й квартал'!$A$702;'Графики 2-й квартал'!$A$704)</c:f>
              <c:strCache>
                <c:ptCount val="9"/>
                <c:pt idx="0">
                  <c:v>Деревобработка</c:v>
                </c:pt>
                <c:pt idx="1">
                  <c:v>Пищевое производство</c:v>
                </c:pt>
                <c:pt idx="2">
                  <c:v>Производство стройматериалов</c:v>
                </c:pt>
                <c:pt idx="3">
                  <c:v>Топливо и полезные ископаемые</c:v>
                </c:pt>
                <c:pt idx="4">
                  <c:v>Сельское хозяйство</c:v>
                </c:pt>
                <c:pt idx="5">
                  <c:v>Торговля</c:v>
                </c:pt>
                <c:pt idx="6">
                  <c:v>Услуги, отдых, здоровье</c:v>
                </c:pt>
                <c:pt idx="7">
                  <c:v>Арендный бизнес</c:v>
                </c:pt>
                <c:pt idx="8">
                  <c:v>Прочие</c:v>
                </c:pt>
              </c:strCache>
            </c:strRef>
          </c:cat>
          <c:val>
            <c:numRef>
              <c:f>('Графики 2-й квартал'!$AK$681;'Графики 2-й квартал'!$AK$683;'Графики 2-й квартал'!$AK$687:$AK$688;'Графики 2-й квартал'!$AK$693;'Графики 2-й квартал'!$AK$696:$AK$697;'Графики 2-й квартал'!$AK$702;'Графики 2-й квартал'!$AK$704)</c:f>
              <c:numCache>
                <c:formatCode>\О\с\н\о\в\н\о\й</c:formatCode>
                <c:ptCount val="9"/>
                <c:pt idx="0">
                  <c:v>0.12820512820512819</c:v>
                </c:pt>
                <c:pt idx="1">
                  <c:v>0.15384615384615477</c:v>
                </c:pt>
                <c:pt idx="2">
                  <c:v>7.6923076923076927E-2</c:v>
                </c:pt>
                <c:pt idx="3">
                  <c:v>5.128205128205128E-2</c:v>
                </c:pt>
                <c:pt idx="4">
                  <c:v>0.10256410256410284</c:v>
                </c:pt>
                <c:pt idx="5">
                  <c:v>7.6923076923076927E-2</c:v>
                </c:pt>
                <c:pt idx="6">
                  <c:v>0.17948717948718038</c:v>
                </c:pt>
                <c:pt idx="7">
                  <c:v>0.10256410256410284</c:v>
                </c:pt>
                <c:pt idx="8">
                  <c:v>0.12820512820512819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0"/>
          <c:y val="0.65035764759988091"/>
          <c:w val="1"/>
          <c:h val="0.31682946080926527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3638545811294076"/>
          <c:y val="1.5784231045035445E-3"/>
          <c:w val="0.44077706055259375"/>
          <c:h val="0.59104196755916005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2011'!$A$673,'Июль 2011-3-й кваптал 2011'!$A$674,'Июль 2011-3-й кваптал 2011'!$A$677,'Июль 2011-3-й кваптал 2011'!$A$683,'Июль 2011-3-й кваптал 2011'!$A$686:$A$688,'Июль 2011-3-й кваптал 2011'!$A$693,'Июль 2011-3-й кваптал 2011'!$A$695)</c:f>
              <c:strCache>
                <c:ptCount val="9"/>
                <c:pt idx="0">
                  <c:v>Пищевое производство</c:v>
                </c:pt>
                <c:pt idx="1">
                  <c:v>Производство металлоконструкций</c:v>
                </c:pt>
                <c:pt idx="2">
                  <c:v>Производство стройматериалов</c:v>
                </c:pt>
                <c:pt idx="3">
                  <c:v>Сельское хозяйство</c:v>
                </c:pt>
                <c:pt idx="4">
                  <c:v>Торговля</c:v>
                </c:pt>
                <c:pt idx="5">
                  <c:v>Услуги, отдых, здоровье</c:v>
                </c:pt>
                <c:pt idx="6">
                  <c:v>Общепит</c:v>
                </c:pt>
                <c:pt idx="7">
                  <c:v>Арендный бизнес</c:v>
                </c:pt>
                <c:pt idx="8">
                  <c:v>Прочие</c:v>
                </c:pt>
              </c:strCache>
            </c:strRef>
          </c:cat>
          <c:val>
            <c:numRef>
              <c:f>('Июль 2011-3-й кваптал 2011'!$BB$673,'Июль 2011-3-й кваптал 2011'!$BB$674,'Июль 2011-3-й кваптал 2011'!$BB$677,'Июль 2011-3-й кваптал 2011'!$BB$683,'Июль 2011-3-й кваптал 2011'!$BB$686:$BB$688,'Июль 2011-3-й кваптал 2011'!$BB$693,'Июль 2011-3-й кваптал 2011'!$BB$695)</c:f>
              <c:numCache>
                <c:formatCode>\О\с\н\о\в\н\о\й</c:formatCode>
                <c:ptCount val="9"/>
                <c:pt idx="0">
                  <c:v>0.23636363636363636</c:v>
                </c:pt>
                <c:pt idx="1">
                  <c:v>5.4545454545454515E-2</c:v>
                </c:pt>
                <c:pt idx="2">
                  <c:v>0.14545454545454545</c:v>
                </c:pt>
                <c:pt idx="3">
                  <c:v>5.4545454545454515E-2</c:v>
                </c:pt>
                <c:pt idx="4">
                  <c:v>9.0909090909091064E-2</c:v>
                </c:pt>
                <c:pt idx="5">
                  <c:v>7.2727272727272724E-2</c:v>
                </c:pt>
                <c:pt idx="6">
                  <c:v>9.0909090909091064E-2</c:v>
                </c:pt>
                <c:pt idx="7">
                  <c:v>7.2727272727272724E-2</c:v>
                </c:pt>
                <c:pt idx="8">
                  <c:v>0.18181818181818227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61520184625950824"/>
          <c:w val="0.99422966168963978"/>
          <c:h val="0.2967053534455766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4830924680860921"/>
          <c:y val="3.8575723548375442E-2"/>
          <c:w val="0.84205693313339836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7340327475151898E-4"/>
                  <c:y val="0.12363061442245557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2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212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1"/>
              <c:layout>
                <c:manualLayout>
                  <c:x val="-9.1469057697267625E-4"/>
                  <c:y val="0.21026161047376496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8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137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0"/>
                  <c:y val="0.16221562809099901"/>
                </c:manualLayout>
              </c:layout>
              <c:tx>
                <c:rich>
                  <a:bodyPr/>
                  <a:lstStyle/>
                  <a:p>
                    <a:r>
                      <a:rPr lang="en-US" dirty="0" smtClean="0"/>
                      <a:t>12</a:t>
                    </a:r>
                    <a:r>
                      <a:rPr lang="ru-RU" dirty="0" smtClean="0"/>
                      <a:t> </a:t>
                    </a:r>
                    <a:r>
                      <a:rPr lang="en-US" dirty="0" smtClean="0"/>
                      <a:t>000</a:t>
                    </a:r>
                    <a:endParaRPr lang="en-US" dirty="0"/>
                  </a:p>
                </c:rich>
              </c:tx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365"/>
                  <c:y val="0.6686930091185499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127"/>
                  <c:y val="0.76291793313070311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2011'!$N$669:$N$670,'Июль 2011-3-й кваптал 2011'!$R$669:$R$670,'Июль 2011-3-й кваптал 2011'!$V$669:$V$670)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2011'!$N$796,'Июль 2011-3-й кваптал 2011'!$R$796,'Июль 2011-3-й кваптал 2011'!$V$796)</c:f>
              <c:numCache>
                <c:formatCode>0</c:formatCode>
                <c:ptCount val="3"/>
                <c:pt idx="0">
                  <c:v>2211.5</c:v>
                </c:pt>
                <c:pt idx="1">
                  <c:v>8136.6000000000013</c:v>
                </c:pt>
                <c:pt idx="2">
                  <c:v>11999.6</c:v>
                </c:pt>
              </c:numCache>
            </c:numRef>
          </c:val>
        </c:ser>
        <c:dLbls>
          <c:showVal val="1"/>
        </c:dLbls>
        <c:gapWidth val="100"/>
        <c:axId val="67167744"/>
        <c:axId val="67169280"/>
      </c:barChart>
      <c:catAx>
        <c:axId val="67167744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7169280"/>
        <c:crosses val="autoZero"/>
        <c:auto val="1"/>
        <c:lblAlgn val="ctr"/>
        <c:lblOffset val="100"/>
        <c:tickLblSkip val="1"/>
        <c:tickMarkSkip val="1"/>
      </c:catAx>
      <c:valAx>
        <c:axId val="67169280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r>
                  <a:rPr lang="ru-RU" sz="1100" b="1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546948250006E-3"/>
              <c:y val="0.10811467557653302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67167744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580275229357798"/>
          <c:y val="1.4925373134328361E-2"/>
          <c:w val="0.72362385321101574"/>
          <c:h val="0.80298507462686564"/>
        </c:manualLayout>
      </c:layout>
      <c:barChart>
        <c:barDir val="bar"/>
        <c:grouping val="clustered"/>
        <c:ser>
          <c:idx val="2"/>
          <c:order val="0"/>
          <c:tx>
            <c:v>3-й кв. 2011</c:v>
          </c:tx>
          <c:spPr>
            <a:solidFill>
              <a:srgbClr val="C00000"/>
            </a:solidFill>
          </c:spPr>
          <c:cat>
            <c:strRef>
              <c:f>'Июль 2011-3-й кваптал 2011'!$A$864:$A$868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2011'!$B$864:$B$868</c:f>
              <c:numCache>
                <c:formatCode>General</c:formatCode>
                <c:ptCount val="5"/>
                <c:pt idx="0">
                  <c:v>24</c:v>
                </c:pt>
                <c:pt idx="1">
                  <c:v>5</c:v>
                </c:pt>
                <c:pt idx="2">
                  <c:v>6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v>2-й кв. 2011</c:v>
          </c:tx>
          <c:cat>
            <c:strRef>
              <c:f>'Июль 2011-3-й кваптал 2011'!$A$864:$A$868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2011'!$F$864:$F$868</c:f>
              <c:numCache>
                <c:formatCode>General</c:formatCode>
                <c:ptCount val="5"/>
                <c:pt idx="0">
                  <c:v>19</c:v>
                </c:pt>
                <c:pt idx="1">
                  <c:v>6</c:v>
                </c:pt>
                <c:pt idx="2">
                  <c:v>11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2"/>
          <c:tx>
            <c:v>1-й кв. 2011</c:v>
          </c:tx>
          <c:spPr>
            <a:solidFill>
              <a:schemeClr val="tx2">
                <a:lumMod val="40000"/>
                <a:lumOff val="60000"/>
              </a:schemeClr>
            </a:solidFill>
          </c:spPr>
          <c:cat>
            <c:strRef>
              <c:f>'Июль 2011-3-й кваптал 2011'!$A$864:$A$868</c:f>
              <c:strCache>
                <c:ptCount val="5"/>
                <c:pt idx="0">
                  <c:v>от 15 млн. руб. до 50 млн. руб.</c:v>
                </c:pt>
                <c:pt idx="1">
                  <c:v>от 51 млн. руб. до 100 млн. руб.</c:v>
                </c:pt>
                <c:pt idx="2">
                  <c:v>от 101 млн. руб. до 500 млн. руб.</c:v>
                </c:pt>
                <c:pt idx="3">
                  <c:v>от 501 млн. руб. до 1000 млн. руб.</c:v>
                </c:pt>
                <c:pt idx="4">
                  <c:v>Свыше 1 млрд. руб.</c:v>
                </c:pt>
              </c:strCache>
            </c:strRef>
          </c:cat>
          <c:val>
            <c:numRef>
              <c:f>'Июль 2011-3-й кваптал 2011'!$J$864:$J$868</c:f>
              <c:numCache>
                <c:formatCode>General</c:formatCode>
                <c:ptCount val="5"/>
                <c:pt idx="0">
                  <c:v>33</c:v>
                </c:pt>
                <c:pt idx="1">
                  <c:v>17</c:v>
                </c:pt>
                <c:pt idx="2">
                  <c:v>16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dLbls>
          <c:showVal val="1"/>
        </c:dLbls>
        <c:axId val="67200128"/>
        <c:axId val="67202048"/>
      </c:barChart>
      <c:catAx>
        <c:axId val="67200128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dirty="0" smtClean="0"/>
                  <a:t>Цена продажи</a:t>
                </a:r>
                <a:endParaRPr lang="ru-RU" dirty="0"/>
              </a:p>
            </c:rich>
          </c:tx>
          <c:layout>
            <c:manualLayout>
              <c:xMode val="edge"/>
              <c:yMode val="edge"/>
              <c:x val="0"/>
              <c:y val="5.4562650933520868E-4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7202048"/>
        <c:crosses val="autoZero"/>
        <c:auto val="1"/>
        <c:lblAlgn val="ctr"/>
        <c:lblOffset val="100"/>
        <c:tickLblSkip val="1"/>
        <c:tickMarkSkip val="1"/>
      </c:catAx>
      <c:valAx>
        <c:axId val="67202048"/>
        <c:scaling>
          <c:orientation val="minMax"/>
        </c:scaling>
        <c:axPos val="b"/>
        <c:majorGridlines>
          <c:spPr>
            <a:ln>
              <a:solidFill>
                <a:srgbClr val="4F81BD"/>
              </a:solidFill>
            </a:ln>
          </c:spPr>
        </c:majorGridlines>
        <c:numFmt formatCode="General" sourceLinked="1"/>
        <c:tickLblPos val="nextTo"/>
        <c:txPr>
          <a:bodyPr rot="0" vert="horz"/>
          <a:lstStyle/>
          <a:p>
            <a:pPr>
              <a:defRPr sz="1050" b="1">
                <a:solidFill>
                  <a:schemeClr val="accent1"/>
                </a:solidFill>
              </a:defRPr>
            </a:pPr>
            <a:endParaRPr lang="ru-RU"/>
          </a:p>
        </c:txPr>
        <c:crossAx val="67200128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1057645572081405"/>
          <c:y val="0.89253728578045077"/>
          <c:w val="0.64921318168562259"/>
          <c:h val="0.10746271421954609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9.4462027198056728E-2"/>
          <c:y val="6.2500181652778722E-2"/>
          <c:w val="0.89517705917828261"/>
          <c:h val="0.8234848275544506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8331167341946392E-3"/>
                  <c:y val="0.20966278338014771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5.1912938030941073E-3"/>
                  <c:y val="0.17004343755276485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3976335482336749E-7"/>
                  <c:y val="0.2789188193581075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0.54319672920471118"/>
                  <c:y val="0.67073270581159761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62062937062938139"/>
                  <c:y val="0.76524504163051299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74300699300699302"/>
                  <c:y val="0.71646448120784256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2011'!$B$890:$B$891,'Июль 2011-3-й кваптал 2011'!$F$890:$F$891,'Июль 2011-3-й кваптал 2011'!$J$890:$J$891)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2011'!$B$915,'Июль 2011-3-й кваптал 2011'!$F$915,'Июль 2011-3-й кваптал 2011'!$J$915)</c:f>
              <c:numCache>
                <c:formatCode>0</c:formatCode>
                <c:ptCount val="3"/>
                <c:pt idx="0">
                  <c:v>7</c:v>
                </c:pt>
                <c:pt idx="1">
                  <c:v>4</c:v>
                </c:pt>
                <c:pt idx="2">
                  <c:v>6</c:v>
                </c:pt>
              </c:numCache>
            </c:numRef>
          </c:val>
        </c:ser>
        <c:dLbls>
          <c:showVal val="1"/>
        </c:dLbls>
        <c:gapWidth val="100"/>
        <c:axId val="73944448"/>
        <c:axId val="73958528"/>
      </c:barChart>
      <c:catAx>
        <c:axId val="73944448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73958528"/>
        <c:crosses val="autoZero"/>
        <c:auto val="1"/>
        <c:lblAlgn val="ctr"/>
        <c:lblOffset val="100"/>
        <c:tickLblSkip val="1"/>
        <c:tickMarkSkip val="1"/>
      </c:catAx>
      <c:valAx>
        <c:axId val="73958528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 sz="1100">
                    <a:solidFill>
                      <a:srgbClr val="0070C0"/>
                    </a:solidFill>
                  </a:defRPr>
                </a:pPr>
                <a:r>
                  <a:rPr lang="ru-RU" sz="1100">
                    <a:solidFill>
                      <a:srgbClr val="0070C0"/>
                    </a:solidFill>
                  </a:rPr>
                  <a:t>Количество предложений</a:t>
                </a:r>
              </a:p>
            </c:rich>
          </c:tx>
          <c:layout>
            <c:manualLayout>
              <c:xMode val="edge"/>
              <c:yMode val="edge"/>
              <c:x val="1.1657280703989681E-3"/>
              <c:y val="0.12804899387576663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73944448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0307457810615487"/>
          <c:y val="6.6042661926452731E-3"/>
          <c:w val="0.56672902876570563"/>
          <c:h val="0.66299300077769163"/>
        </c:manualLayout>
      </c:layout>
      <c:doughnutChart>
        <c:varyColors val="1"/>
        <c:ser>
          <c:idx val="0"/>
          <c:order val="0"/>
          <c:dLbls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Percent val="1"/>
          </c:dLbls>
          <c:cat>
            <c:strRef>
              <c:f>('Графики 2-й квартал'!$A$6,'Графики 2-й квартал'!$A$8,'Графики 2-й квартал'!$A$12,'Графики 2-й квартал'!$A$18,'Графики 2-й квартал'!$A$21:$A$23,'Графики 2-й квартал'!$A$28,'Графики 2-й квартал'!$A$30)</c:f>
              <c:strCache>
                <c:ptCount val="9"/>
                <c:pt idx="0">
                  <c:v>Деревообработка</c:v>
                </c:pt>
                <c:pt idx="1">
                  <c:v>Пищевое производство</c:v>
                </c:pt>
                <c:pt idx="2">
                  <c:v>Производство стройматериалов</c:v>
                </c:pt>
                <c:pt idx="3">
                  <c:v>Сельское хозяйство</c:v>
                </c:pt>
                <c:pt idx="4">
                  <c:v>Торговля</c:v>
                </c:pt>
                <c:pt idx="5">
                  <c:v>Услуги, отдых, здоровье</c:v>
                </c:pt>
                <c:pt idx="6">
                  <c:v>Общепит</c:v>
                </c:pt>
                <c:pt idx="7">
                  <c:v>Арендный бизнес</c:v>
                </c:pt>
                <c:pt idx="8">
                  <c:v>Прочие</c:v>
                </c:pt>
              </c:strCache>
            </c:strRef>
          </c:cat>
          <c:val>
            <c:numRef>
              <c:f>('Графики 2-й квартал'!$Z$6,'Графики 2-й квартал'!$Z$8,'Графики 2-й квартал'!$Z$12,'Графики 2-й квартал'!$Z$18,'Графики 2-й квартал'!$Z$21:$Z$23,'Графики 2-й квартал'!$Z$28,'Графики 2-й квартал'!$Z$30)</c:f>
              <c:numCache>
                <c:formatCode>\О\с\н\о\в\н\о\й</c:formatCode>
                <c:ptCount val="9"/>
                <c:pt idx="0">
                  <c:v>5.3658536585365846E-2</c:v>
                </c:pt>
                <c:pt idx="1">
                  <c:v>9.9186991869918681E-2</c:v>
                </c:pt>
                <c:pt idx="2">
                  <c:v>7.4796747967480023E-2</c:v>
                </c:pt>
                <c:pt idx="3">
                  <c:v>7.4796747967480023E-2</c:v>
                </c:pt>
                <c:pt idx="4">
                  <c:v>6.1788617886179113E-2</c:v>
                </c:pt>
                <c:pt idx="5">
                  <c:v>0.20650406504065039</c:v>
                </c:pt>
                <c:pt idx="6">
                  <c:v>0.12032520325203314</c:v>
                </c:pt>
                <c:pt idx="7">
                  <c:v>0.11382113821138212</c:v>
                </c:pt>
                <c:pt idx="8">
                  <c:v>0.19512195121951115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1.4284561106943091E-2"/>
          <c:y val="0.74149733362959835"/>
          <c:w val="0.96123135072507815"/>
          <c:h val="0.2559235084990558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4830924680860921"/>
          <c:y val="3.8575723548375442E-2"/>
          <c:w val="0.81947901240713428"/>
          <c:h val="0.83679646466475965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638FC5"/>
              </a:solidFill>
            </c:spPr>
          </c:dPt>
          <c:dLbls>
            <c:dLbl>
              <c:idx val="0"/>
              <c:layout>
                <c:manualLayout>
                  <c:x val="2.7358554360135178E-4"/>
                  <c:y val="0.26606384884382034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9.1426055076907679E-4"/>
                  <c:y val="0.12321907832737525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0.16221562809099901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Mode val="edge"/>
                  <c:yMode val="edge"/>
                  <c:x val="0.36042418373531387"/>
                  <c:y val="0.66869300911855034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Mode val="edge"/>
                  <c:yMode val="edge"/>
                  <c:x val="0.31360437555401144"/>
                  <c:y val="0.7629179331307033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Mode val="edge"/>
                  <c:yMode val="edge"/>
                  <c:x val="0.37544185805761482"/>
                  <c:y val="0.7142857142857146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2011'!$N$890:$N$891,'Июль 2011-3-й кваптал 2011'!$R$890:$R$891,'Июль 2011-3-й кваптал 2011'!$V$890:$V$891)</c:f>
              <c:strCache>
                <c:ptCount val="3"/>
                <c:pt idx="0">
                  <c:v>3-й кв. 2011</c:v>
                </c:pt>
                <c:pt idx="1">
                  <c:v>2-й кв. 2011</c:v>
                </c:pt>
                <c:pt idx="2">
                  <c:v>1-й кв. 2011</c:v>
                </c:pt>
              </c:strCache>
            </c:strRef>
          </c:cat>
          <c:val>
            <c:numRef>
              <c:f>('Июль 2011-3-й кваптал 2011'!$N$915,'Июль 2011-3-й кваптал 2011'!$R$915,'Июль 2011-3-й кваптал 2011'!$V$915)</c:f>
              <c:numCache>
                <c:formatCode>0</c:formatCode>
                <c:ptCount val="3"/>
                <c:pt idx="0">
                  <c:v>1347</c:v>
                </c:pt>
                <c:pt idx="1">
                  <c:v>305</c:v>
                </c:pt>
                <c:pt idx="2">
                  <c:v>543</c:v>
                </c:pt>
              </c:numCache>
            </c:numRef>
          </c:val>
        </c:ser>
        <c:dLbls>
          <c:showVal val="1"/>
        </c:dLbls>
        <c:gapWidth val="100"/>
        <c:axId val="73868800"/>
        <c:axId val="73870336"/>
      </c:barChart>
      <c:catAx>
        <c:axId val="73868800"/>
        <c:scaling>
          <c:orientation val="maxMin"/>
        </c:scaling>
        <c:axPos val="b"/>
        <c:numFmt formatCode="@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73870336"/>
        <c:crosses val="autoZero"/>
        <c:auto val="1"/>
        <c:lblAlgn val="ctr"/>
        <c:lblOffset val="100"/>
        <c:tickLblSkip val="1"/>
        <c:tickMarkSkip val="1"/>
      </c:catAx>
      <c:valAx>
        <c:axId val="73870336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title>
          <c:tx>
            <c:rich>
              <a:bodyPr/>
              <a:lstStyle/>
              <a:p>
                <a:pPr>
                  <a:defRPr>
                    <a:solidFill>
                      <a:srgbClr val="0070C0"/>
                    </a:solidFill>
                  </a:defRPr>
                </a:pPr>
                <a:r>
                  <a:rPr lang="ru-RU" sz="1100" b="1">
                    <a:solidFill>
                      <a:srgbClr val="0070C0"/>
                    </a:solidFill>
                  </a:rPr>
                  <a:t>Суммарный объём, млн. руб.</a:t>
                </a:r>
              </a:p>
            </c:rich>
          </c:tx>
          <c:layout>
            <c:manualLayout>
              <c:xMode val="edge"/>
              <c:yMode val="edge"/>
              <c:x val="9.7173546948250006E-3"/>
              <c:y val="0.10811467557653309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1000" b="1">
                <a:solidFill>
                  <a:srgbClr val="0070C0"/>
                </a:solidFill>
              </a:defRPr>
            </a:pPr>
            <a:endParaRPr lang="ru-RU"/>
          </a:p>
        </c:txPr>
        <c:crossAx val="73868800"/>
        <c:crosses val="max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plotArea>
      <c:layout>
        <c:manualLayout>
          <c:layoutTarget val="inner"/>
          <c:xMode val="edge"/>
          <c:yMode val="edge"/>
          <c:x val="0.19712632111914705"/>
          <c:y val="3.3917171596318393E-3"/>
          <c:w val="0.53695536561511381"/>
          <c:h val="0.62988994812542265"/>
        </c:manualLayout>
      </c:layout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2.4269738155175292E-3"/>
                  <c:y val="-4.6432975321339713E-2"/>
                </c:manualLayout>
              </c:layout>
              <c:showVal val="1"/>
            </c:dLbl>
            <c:dLbl>
              <c:idx val="1"/>
              <c:layout>
                <c:manualLayout>
                  <c:x val="8.5653152718134767E-3"/>
                  <c:y val="-1.7195816261725307E-2"/>
                </c:manualLayout>
              </c:layout>
              <c:showVal val="1"/>
            </c:dLbl>
            <c:dLbl>
              <c:idx val="2"/>
              <c:layout>
                <c:manualLayout>
                  <c:x val="5.8930000879898834E-3"/>
                  <c:y val="-1.0168439865787726E-2"/>
                </c:manualLayout>
              </c:layout>
              <c:showVal val="1"/>
            </c:dLbl>
            <c:dLbl>
              <c:idx val="3"/>
              <c:layout>
                <c:manualLayout>
                  <c:x val="1.2608726443945201E-2"/>
                  <c:y val="-1.8281654835972301E-3"/>
                </c:manualLayout>
              </c:layout>
              <c:showVal val="1"/>
            </c:dLbl>
            <c:dLbl>
              <c:idx val="4"/>
              <c:layout>
                <c:manualLayout>
                  <c:x val="5.1657320431021834E-3"/>
                  <c:y val="1.5767590079077423E-2"/>
                </c:manualLayout>
              </c:layout>
              <c:showVal val="1"/>
            </c:dLbl>
            <c:dLbl>
              <c:idx val="5"/>
              <c:layout>
                <c:manualLayout>
                  <c:x val="8.6743368035661142E-3"/>
                  <c:y val="3.5718243998943452E-2"/>
                </c:manualLayout>
              </c:layout>
              <c:showVal val="1"/>
            </c:dLbl>
            <c:dLbl>
              <c:idx val="6"/>
              <c:layout>
                <c:manualLayout>
                  <c:x val="-3.7817594959256812E-3"/>
                  <c:y val="4.2893995852232468E-3"/>
                </c:manualLayout>
              </c:layout>
              <c:showVal val="1"/>
            </c:dLbl>
            <c:dLbl>
              <c:idx val="7"/>
              <c:layout>
                <c:manualLayout>
                  <c:x val="-1.1095644933181418E-2"/>
                  <c:y val="-6.6146228509444561E-3"/>
                </c:manualLayout>
              </c:layout>
              <c:showVal val="1"/>
            </c:dLbl>
            <c:dLbl>
              <c:idx val="8"/>
              <c:layout>
                <c:manualLayout>
                  <c:x val="-9.0500747913461205E-3"/>
                  <c:y val="-2.3276512277507072E-2"/>
                </c:manualLayout>
              </c:layout>
              <c:showVal val="1"/>
            </c:dLbl>
            <c:dLbl>
              <c:idx val="9"/>
              <c:layout>
                <c:manualLayout>
                  <c:x val="-7.1904421595706319E-3"/>
                  <c:y val="-3.0102232938227481E-2"/>
                </c:manualLayout>
              </c:layout>
              <c:showVal val="1"/>
            </c:dLbl>
            <c:numFmt formatCode="#,#00%" sourceLinked="0"/>
            <c:txPr>
              <a:bodyPr/>
              <a:lstStyle/>
              <a:p>
                <a:pPr>
                  <a:defRPr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('Июль 2011-3-й кваптал 2011'!$A$6,'Июль 2011-3-й кваптал 2011'!$A$8,'Июль 2011-3-й кваптал 2011'!$A$12,'Июль 2011-3-й кваптал 2011'!$A$18,'Июль 2011-3-й кваптал 2011'!$A$20:$A$24,'Июль 2011-3-й кваптал 2011'!$A$28,'Июль 2011-3-й кваптал 2011'!$A$30)</c:f>
              <c:strCache>
                <c:ptCount val="11"/>
                <c:pt idx="0">
                  <c:v>Деревообработка</c:v>
                </c:pt>
                <c:pt idx="1">
                  <c:v>Пищевое производство</c:v>
                </c:pt>
                <c:pt idx="2">
                  <c:v>Производство стройматериалов</c:v>
                </c:pt>
                <c:pt idx="3">
                  <c:v>Сельское хозяйство</c:v>
                </c:pt>
                <c:pt idx="4">
                  <c:v>Строительство и девелопмент</c:v>
                </c:pt>
                <c:pt idx="5">
                  <c:v>Торговля</c:v>
                </c:pt>
                <c:pt idx="6">
                  <c:v>Услуги, отдых, здоровье</c:v>
                </c:pt>
                <c:pt idx="7">
                  <c:v>Общепит</c:v>
                </c:pt>
                <c:pt idx="8">
                  <c:v>Развлечения</c:v>
                </c:pt>
                <c:pt idx="9">
                  <c:v>Арендный бизнес</c:v>
                </c:pt>
                <c:pt idx="10">
                  <c:v>Прочие</c:v>
                </c:pt>
              </c:strCache>
            </c:strRef>
          </c:cat>
          <c:val>
            <c:numRef>
              <c:f>('Июль 2011-3-й кваптал 2011'!$AL$6,'Июль 2011-3-й кваптал 2011'!$AL$8,'Июль 2011-3-й кваптал 2011'!$AL$12,'Июль 2011-3-й кваптал 2011'!$AL$18,'Июль 2011-3-й кваптал 2011'!$AL$20:$AL$24,'Июль 2011-3-й кваптал 2011'!$AL$28,'Июль 2011-3-й кваптал 2011'!$AL$30)</c:f>
              <c:numCache>
                <c:formatCode>\О\с\н\о\в\н\о\й</c:formatCode>
                <c:ptCount val="11"/>
                <c:pt idx="0">
                  <c:v>2.5586353944562878E-2</c:v>
                </c:pt>
                <c:pt idx="1">
                  <c:v>0.16204690831556504</c:v>
                </c:pt>
                <c:pt idx="2">
                  <c:v>8.7420042643923238E-2</c:v>
                </c:pt>
                <c:pt idx="3">
                  <c:v>7.4626865671641784E-2</c:v>
                </c:pt>
                <c:pt idx="4">
                  <c:v>3.6247334754797446E-2</c:v>
                </c:pt>
                <c:pt idx="5">
                  <c:v>6.1833688699360338E-2</c:v>
                </c:pt>
                <c:pt idx="6">
                  <c:v>0.14285714285714324</c:v>
                </c:pt>
                <c:pt idx="7">
                  <c:v>0.10660980810234529</c:v>
                </c:pt>
                <c:pt idx="8">
                  <c:v>4.9040511727078892E-2</c:v>
                </c:pt>
                <c:pt idx="9">
                  <c:v>9.1684434968017064E-2</c:v>
                </c:pt>
                <c:pt idx="10">
                  <c:v>0.16204690831556501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b"/>
      <c:layout>
        <c:manualLayout>
          <c:xMode val="edge"/>
          <c:yMode val="edge"/>
          <c:x val="1.2242492182107271E-2"/>
          <c:y val="0.71015560236896846"/>
          <c:w val="0.96620120932776987"/>
          <c:h val="0.2714706378778435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4842105263157896"/>
          <c:y val="9.4518045654801309E-3"/>
          <c:w val="0.73473684210526313"/>
          <c:h val="0.92438648650394917"/>
        </c:manualLayout>
      </c:layout>
      <c:barChart>
        <c:barDir val="bar"/>
        <c:grouping val="clustered"/>
        <c:ser>
          <c:idx val="2"/>
          <c:order val="0"/>
          <c:tx>
            <c:v>2-й кв. 2011</c:v>
          </c:tx>
          <c:spPr>
            <a:solidFill>
              <a:schemeClr val="accent1"/>
            </a:solidFill>
          </c:spPr>
          <c:dLbls>
            <c:spPr>
              <a:noFill/>
              <a:ln w="25400">
                <a:noFill/>
              </a:ln>
            </c:spPr>
            <c:showVal val="1"/>
          </c:dLbls>
          <c:cat>
            <c:strRef>
              <c:f>('Графики 2-й квартал'!$A$6:$A$15,'Графики 2-й квартал'!$A$17:$A$28)</c:f>
              <c:strCache>
                <c:ptCount val="22"/>
                <c:pt idx="0">
                  <c:v>Деревообработка</c:v>
                </c:pt>
                <c:pt idx="1">
                  <c:v>Машиностроение</c:v>
                </c:pt>
                <c:pt idx="2">
                  <c:v>Пищевое производство</c:v>
                </c:pt>
                <c:pt idx="3">
                  <c:v>Производство металлоконструкций</c:v>
                </c:pt>
                <c:pt idx="4">
                  <c:v>Приборостроение</c:v>
                </c:pt>
                <c:pt idx="5">
                  <c:v>Производство мебели</c:v>
                </c:pt>
                <c:pt idx="6">
                  <c:v>Производство стройматериалов</c:v>
                </c:pt>
                <c:pt idx="7">
                  <c:v>Топливо и полезные ископаемые</c:v>
                </c:pt>
                <c:pt idx="8">
                  <c:v>Химия</c:v>
                </c:pt>
                <c:pt idx="9">
                  <c:v>Швейное производство</c:v>
                </c:pt>
                <c:pt idx="10">
                  <c:v>Металлургия</c:v>
                </c:pt>
                <c:pt idx="11">
                  <c:v>Сельское хозяйство</c:v>
                </c:pt>
                <c:pt idx="12">
                  <c:v>Транспорт</c:v>
                </c:pt>
                <c:pt idx="13">
                  <c:v>Строительство и девелопмент</c:v>
                </c:pt>
                <c:pt idx="14">
                  <c:v>Торговля</c:v>
                </c:pt>
                <c:pt idx="15">
                  <c:v>Услуги, отдых, здоровье</c:v>
                </c:pt>
                <c:pt idx="16">
                  <c:v>Общепит</c:v>
                </c:pt>
                <c:pt idx="17">
                  <c:v>Развлечения</c:v>
                </c:pt>
                <c:pt idx="18">
                  <c:v>IT</c:v>
                </c:pt>
                <c:pt idx="19">
                  <c:v>Финансовые компании</c:v>
                </c:pt>
                <c:pt idx="20">
                  <c:v>СМИ</c:v>
                </c:pt>
                <c:pt idx="21">
                  <c:v>Арендный бизнес</c:v>
                </c:pt>
              </c:strCache>
            </c:strRef>
          </c:cat>
          <c:val>
            <c:numRef>
              <c:f>('Графики 2-й квартал'!$R$6:$R$15,'Графики 2-й квартал'!$R$17:$R$28)</c:f>
              <c:numCache>
                <c:formatCode>0</c:formatCode>
                <c:ptCount val="22"/>
                <c:pt idx="0">
                  <c:v>58.400000000000006</c:v>
                </c:pt>
                <c:pt idx="1">
                  <c:v>140.88888888889008</c:v>
                </c:pt>
                <c:pt idx="2">
                  <c:v>95.222950819672079</c:v>
                </c:pt>
                <c:pt idx="3">
                  <c:v>123.65714285714265</c:v>
                </c:pt>
                <c:pt idx="4">
                  <c:v>61.866666666666262</c:v>
                </c:pt>
                <c:pt idx="5">
                  <c:v>52.027272727272731</c:v>
                </c:pt>
                <c:pt idx="6">
                  <c:v>93.543478260869549</c:v>
                </c:pt>
                <c:pt idx="7">
                  <c:v>496.14285714285865</c:v>
                </c:pt>
                <c:pt idx="8">
                  <c:v>122.80625000000002</c:v>
                </c:pt>
                <c:pt idx="9">
                  <c:v>49.379999999999995</c:v>
                </c:pt>
                <c:pt idx="10">
                  <c:v>101.6</c:v>
                </c:pt>
                <c:pt idx="11">
                  <c:v>120.00652173913043</c:v>
                </c:pt>
                <c:pt idx="12">
                  <c:v>78.05</c:v>
                </c:pt>
                <c:pt idx="13">
                  <c:v>167.625</c:v>
                </c:pt>
                <c:pt idx="14">
                  <c:v>37.584210526315793</c:v>
                </c:pt>
                <c:pt idx="15">
                  <c:v>124.72598425196851</c:v>
                </c:pt>
                <c:pt idx="16">
                  <c:v>53.941891891891729</c:v>
                </c:pt>
                <c:pt idx="17">
                  <c:v>68.768181818181247</c:v>
                </c:pt>
                <c:pt idx="18">
                  <c:v>18</c:v>
                </c:pt>
                <c:pt idx="19">
                  <c:v>230</c:v>
                </c:pt>
                <c:pt idx="20">
                  <c:v>22.5</c:v>
                </c:pt>
                <c:pt idx="21">
                  <c:v>329.21428571428567</c:v>
                </c:pt>
              </c:numCache>
            </c:numRef>
          </c:val>
        </c:ser>
        <c:dLbls>
          <c:showVal val="1"/>
        </c:dLbls>
        <c:axId val="65622784"/>
        <c:axId val="65624320"/>
      </c:barChart>
      <c:catAx>
        <c:axId val="65622784"/>
        <c:scaling>
          <c:orientation val="minMax"/>
        </c:scaling>
        <c:axPos val="l"/>
        <c:numFmt formatCode="\О\с\н\о\в\н\о\й" sourceLinked="1"/>
        <c:tickLblPos val="nextTo"/>
        <c:txPr>
          <a:bodyPr rot="0" vert="horz"/>
          <a:lstStyle/>
          <a:p>
            <a:pPr>
              <a:defRPr sz="900" b="1"/>
            </a:pPr>
            <a:endParaRPr lang="ru-RU"/>
          </a:p>
        </c:txPr>
        <c:crossAx val="65624320"/>
        <c:crosses val="autoZero"/>
        <c:auto val="1"/>
        <c:lblAlgn val="ctr"/>
        <c:lblOffset val="100"/>
        <c:tickLblSkip val="1"/>
        <c:tickMarkSkip val="1"/>
      </c:catAx>
      <c:valAx>
        <c:axId val="65624320"/>
        <c:scaling>
          <c:orientation val="minMax"/>
        </c:scaling>
        <c:axPos val="b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numFmt formatCode="0" sourceLinked="0"/>
        <c:tickLblPos val="nextTo"/>
        <c:txPr>
          <a:bodyPr rot="0" vert="horz"/>
          <a:lstStyle/>
          <a:p>
            <a:pPr>
              <a:defRPr sz="1000" b="1"/>
            </a:pPr>
            <a:endParaRPr lang="ru-RU"/>
          </a:p>
        </c:txPr>
        <c:crossAx val="6562278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8"/>
  <c:chart>
    <c:autoTitleDeleted val="1"/>
    <c:plotArea>
      <c:layout>
        <c:manualLayout>
          <c:layoutTarget val="inner"/>
          <c:xMode val="edge"/>
          <c:yMode val="edge"/>
          <c:x val="0.44024702700126506"/>
          <c:y val="1.346354262225106E-2"/>
          <c:w val="0.73473684210526313"/>
          <c:h val="0.92438648650394917"/>
        </c:manualLayout>
      </c:layout>
      <c:barChart>
        <c:barDir val="bar"/>
        <c:grouping val="clustered"/>
        <c:ser>
          <c:idx val="2"/>
          <c:order val="0"/>
          <c:spPr>
            <a:solidFill>
              <a:srgbClr val="C00000"/>
            </a:solidFill>
          </c:spPr>
          <c:cat>
            <c:strRef>
              <c:f>('Июль 2011-3-й кваптал 2011'!$A$6:$A$16,'Июль 2011-3-й кваптал 2011'!$A$18:$A$24,'Июль 2011-3-й кваптал 2011'!$A$26:$A$28)</c:f>
              <c:strCache>
                <c:ptCount val="21"/>
                <c:pt idx="0">
                  <c:v>Деревообработка</c:v>
                </c:pt>
                <c:pt idx="1">
                  <c:v>Машиностроение</c:v>
                </c:pt>
                <c:pt idx="2">
                  <c:v>Пищевое производство</c:v>
                </c:pt>
                <c:pt idx="3">
                  <c:v>Производство металлоконструкций</c:v>
                </c:pt>
                <c:pt idx="4">
                  <c:v>Приборостроение</c:v>
                </c:pt>
                <c:pt idx="5">
                  <c:v>Производство мебели</c:v>
                </c:pt>
                <c:pt idx="6">
                  <c:v>Производство стройматериалов</c:v>
                </c:pt>
                <c:pt idx="7">
                  <c:v>Топливо и полезные ископаемые</c:v>
                </c:pt>
                <c:pt idx="8">
                  <c:v>Химия</c:v>
                </c:pt>
                <c:pt idx="9">
                  <c:v>Швейное производство</c:v>
                </c:pt>
                <c:pt idx="10">
                  <c:v>Производство электрооборудования</c:v>
                </c:pt>
                <c:pt idx="11">
                  <c:v>Сельское хозяйство</c:v>
                </c:pt>
                <c:pt idx="12">
                  <c:v>Транспорт</c:v>
                </c:pt>
                <c:pt idx="13">
                  <c:v>Строительство и девелопмент</c:v>
                </c:pt>
                <c:pt idx="14">
                  <c:v>Торговля</c:v>
                </c:pt>
                <c:pt idx="15">
                  <c:v>Услуги, отдых, здоровье</c:v>
                </c:pt>
                <c:pt idx="16">
                  <c:v>Общепит</c:v>
                </c:pt>
                <c:pt idx="17">
                  <c:v>Развлечения</c:v>
                </c:pt>
                <c:pt idx="18">
                  <c:v>Финансовые компании</c:v>
                </c:pt>
                <c:pt idx="19">
                  <c:v>СМИ</c:v>
                </c:pt>
                <c:pt idx="20">
                  <c:v>Арендный бизнес</c:v>
                </c:pt>
              </c:strCache>
            </c:strRef>
          </c:cat>
          <c:val>
            <c:numRef>
              <c:f>('Июль 2011-3-й кваптал 2011'!$Z$6:$Z$16,'Июль 2011-3-й кваптал 2011'!$Z$18:$Z$24,'Июль 2011-3-й кваптал 2011'!$Z$26:$Z$28)</c:f>
              <c:numCache>
                <c:formatCode>0</c:formatCode>
                <c:ptCount val="21"/>
                <c:pt idx="0">
                  <c:v>79.133333333333127</c:v>
                </c:pt>
                <c:pt idx="1">
                  <c:v>186.85714285714351</c:v>
                </c:pt>
                <c:pt idx="2">
                  <c:v>105.38289473684208</c:v>
                </c:pt>
                <c:pt idx="3">
                  <c:v>93.818181818181472</c:v>
                </c:pt>
                <c:pt idx="4">
                  <c:v>118.33333333333316</c:v>
                </c:pt>
                <c:pt idx="5">
                  <c:v>57.942857142857143</c:v>
                </c:pt>
                <c:pt idx="6">
                  <c:v>122.31219512195121</c:v>
                </c:pt>
                <c:pt idx="7">
                  <c:v>100.39999999999999</c:v>
                </c:pt>
                <c:pt idx="8">
                  <c:v>197.60769230769247</c:v>
                </c:pt>
                <c:pt idx="9">
                  <c:v>34.554545454545348</c:v>
                </c:pt>
                <c:pt idx="10">
                  <c:v>58</c:v>
                </c:pt>
                <c:pt idx="11">
                  <c:v>147.97142857142867</c:v>
                </c:pt>
                <c:pt idx="12">
                  <c:v>70.137500000000003</c:v>
                </c:pt>
                <c:pt idx="13">
                  <c:v>76.123529411764679</c:v>
                </c:pt>
                <c:pt idx="14">
                  <c:v>32.213793103448275</c:v>
                </c:pt>
                <c:pt idx="15">
                  <c:v>78.291044776119406</c:v>
                </c:pt>
                <c:pt idx="16">
                  <c:v>49.11</c:v>
                </c:pt>
                <c:pt idx="17">
                  <c:v>87.447826086956525</c:v>
                </c:pt>
                <c:pt idx="18">
                  <c:v>55</c:v>
                </c:pt>
                <c:pt idx="19">
                  <c:v>41.3</c:v>
                </c:pt>
                <c:pt idx="20">
                  <c:v>137.25116279069758</c:v>
                </c:pt>
              </c:numCache>
            </c:numRef>
          </c:val>
        </c:ser>
        <c:dLbls>
          <c:showVal val="1"/>
        </c:dLbls>
        <c:axId val="65635840"/>
        <c:axId val="65637376"/>
      </c:barChart>
      <c:catAx>
        <c:axId val="65635840"/>
        <c:scaling>
          <c:orientation val="minMax"/>
        </c:scaling>
        <c:axPos val="l"/>
        <c:numFmt formatCode="\О\с\н\о\в\н\о\й" sourceLinked="1"/>
        <c:tickLblPos val="nextTo"/>
        <c:txPr>
          <a:bodyPr rot="0" vert="horz"/>
          <a:lstStyle/>
          <a:p>
            <a:pPr>
              <a:defRPr sz="900" b="1"/>
            </a:pPr>
            <a:endParaRPr lang="ru-RU"/>
          </a:p>
        </c:txPr>
        <c:crossAx val="65637376"/>
        <c:crosses val="autoZero"/>
        <c:auto val="1"/>
        <c:lblAlgn val="ctr"/>
        <c:lblOffset val="100"/>
        <c:tickLblSkip val="1"/>
        <c:tickMarkSkip val="1"/>
      </c:catAx>
      <c:valAx>
        <c:axId val="65637376"/>
        <c:scaling>
          <c:orientation val="minMax"/>
        </c:scaling>
        <c:axPos val="b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numFmt formatCode="0" sourceLinked="0"/>
        <c:tickLblPos val="nextTo"/>
        <c:txPr>
          <a:bodyPr rot="0" vert="horz"/>
          <a:lstStyle/>
          <a:p>
            <a:pPr>
              <a:defRPr b="1"/>
            </a:pPr>
            <a:endParaRPr lang="ru-RU"/>
          </a:p>
        </c:txPr>
        <c:crossAx val="6563584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26382289988612423"/>
          <c:y val="3.6804461813611154E-2"/>
          <c:w val="0.51108796071269735"/>
          <c:h val="0.64136528403162152"/>
        </c:manualLayout>
      </c:layout>
      <c:doughnutChart>
        <c:varyColors val="1"/>
        <c:ser>
          <c:idx val="0"/>
          <c:order val="0"/>
          <c:dLbls>
            <c:dLbl>
              <c:idx val="6"/>
              <c:layout>
                <c:manualLayout>
                  <c:x val="0"/>
                  <c:y val="-3.6697247706422312E-2"/>
                </c:manualLayout>
              </c:layout>
              <c:showPercent val="1"/>
            </c:dLbl>
            <c:numFmt formatCode="#,#00%" sourceLinked="0"/>
            <c:txPr>
              <a:bodyPr/>
              <a:lstStyle/>
              <a:p>
                <a:pPr>
                  <a:defRPr sz="1000"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Percent val="1"/>
          </c:dLbls>
          <c:cat>
            <c:strRef>
              <c:f>'Графики 2-й квартал'!$A$861:$A$867</c:f>
              <c:strCache>
                <c:ptCount val="7"/>
                <c:pt idx="0">
                  <c:v>Центральный федеральный округ</c:v>
                </c:pt>
                <c:pt idx="1">
                  <c:v>Северо-Западный федеральный округ</c:v>
                </c:pt>
                <c:pt idx="2">
                  <c:v>Приволжский федеральный округ</c:v>
                </c:pt>
                <c:pt idx="3">
                  <c:v>Южный федеральный округ</c:v>
                </c:pt>
                <c:pt idx="4">
                  <c:v>Уральский федеральный округ</c:v>
                </c:pt>
                <c:pt idx="5">
                  <c:v>Сибирский федеральный округ</c:v>
                </c:pt>
                <c:pt idx="6">
                  <c:v>Дальневосточный федеральный округ</c:v>
                </c:pt>
              </c:strCache>
            </c:strRef>
          </c:cat>
          <c:val>
            <c:numRef>
              <c:f>'Графики 2-й квартал'!$J$861:$J$867</c:f>
              <c:numCache>
                <c:formatCode>\О\с\н\о\в\н\о\й</c:formatCode>
                <c:ptCount val="7"/>
                <c:pt idx="0">
                  <c:v>0.37723577235772382</c:v>
                </c:pt>
                <c:pt idx="1">
                  <c:v>0.1024390243902439</c:v>
                </c:pt>
                <c:pt idx="2">
                  <c:v>0.15934959349593614</c:v>
                </c:pt>
                <c:pt idx="3">
                  <c:v>0.18861788617886277</c:v>
                </c:pt>
                <c:pt idx="4">
                  <c:v>0.1024390243902439</c:v>
                </c:pt>
                <c:pt idx="5">
                  <c:v>6.3414634146342075E-2</c:v>
                </c:pt>
                <c:pt idx="6">
                  <c:v>6.5040650406504074E-3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1.4626790101646258E-2"/>
          <c:y val="0.74622128042418123"/>
          <c:w val="0.98356967622905289"/>
          <c:h val="0.24460544688934382"/>
        </c:manualLayout>
      </c:layout>
    </c:legend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plotArea>
      <c:layout>
        <c:manualLayout>
          <c:layoutTarget val="inner"/>
          <c:xMode val="edge"/>
          <c:yMode val="edge"/>
          <c:x val="0.18932201121918585"/>
          <c:y val="6.0060060060060094E-3"/>
          <c:w val="0.49176862796243315"/>
          <c:h val="0.67864070658815934"/>
        </c:manualLayout>
      </c:layout>
      <c:doughnutChart>
        <c:varyColors val="1"/>
        <c:ser>
          <c:idx val="0"/>
          <c:order val="0"/>
          <c:dLbls>
            <c:dLbl>
              <c:idx val="6"/>
              <c:layout>
                <c:manualLayout>
                  <c:x val="0"/>
                  <c:y val="-3.6697247706422347E-2"/>
                </c:manualLayout>
              </c:layout>
              <c:showPercent val="1"/>
            </c:dLbl>
            <c:numFmt formatCode="#,#00%" sourceLinked="0"/>
            <c:txPr>
              <a:bodyPr/>
              <a:lstStyle/>
              <a:p>
                <a:pPr>
                  <a:defRPr b="1">
                    <a:solidFill>
                      <a:schemeClr val="accent6">
                        <a:lumMod val="20000"/>
                        <a:lumOff val="80000"/>
                      </a:schemeClr>
                    </a:solidFill>
                  </a:defRPr>
                </a:pPr>
                <a:endParaRPr lang="ru-RU"/>
              </a:p>
            </c:txPr>
            <c:showPercent val="1"/>
          </c:dLbls>
          <c:cat>
            <c:strRef>
              <c:f>'Июль 2011-3-й кваптал 2011'!$A$954:$A$960</c:f>
              <c:strCache>
                <c:ptCount val="7"/>
                <c:pt idx="0">
                  <c:v>Центральный федеральный округ</c:v>
                </c:pt>
                <c:pt idx="1">
                  <c:v>Северо-Западный федеральный округ</c:v>
                </c:pt>
                <c:pt idx="2">
                  <c:v>Приволжский федеральный округ</c:v>
                </c:pt>
                <c:pt idx="3">
                  <c:v>Южный федеральный округ</c:v>
                </c:pt>
                <c:pt idx="4">
                  <c:v>Уральский федеральный округ</c:v>
                </c:pt>
                <c:pt idx="5">
                  <c:v>Сибирский федеральный округ</c:v>
                </c:pt>
                <c:pt idx="6">
                  <c:v>Дальневосточный федеральный округ</c:v>
                </c:pt>
              </c:strCache>
            </c:strRef>
          </c:cat>
          <c:val>
            <c:numRef>
              <c:f>'Июль 2011-3-й кваптал 2011'!$N$954:$N$960</c:f>
              <c:numCache>
                <c:formatCode>\О\с\н\о\в\н\о\й</c:formatCode>
                <c:ptCount val="7"/>
                <c:pt idx="0">
                  <c:v>0.40511727078891258</c:v>
                </c:pt>
                <c:pt idx="1">
                  <c:v>9.8081023454157784E-2</c:v>
                </c:pt>
                <c:pt idx="2">
                  <c:v>0.15351812366737796</c:v>
                </c:pt>
                <c:pt idx="3">
                  <c:v>0.13646055437100221</c:v>
                </c:pt>
                <c:pt idx="4">
                  <c:v>0.11727078891258025</c:v>
                </c:pt>
                <c:pt idx="5">
                  <c:v>7.4626865671641784E-2</c:v>
                </c:pt>
                <c:pt idx="6">
                  <c:v>1.4925373134328361E-2</c:v>
                </c:pt>
              </c:numCache>
            </c:numRef>
          </c:val>
        </c:ser>
        <c:dLbls>
          <c:showVal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0012248468941516E-2"/>
          <c:y val="0.7413798466837036"/>
          <c:w val="0.9490727188513195"/>
          <c:h val="0.24944700588823515"/>
        </c:manualLayout>
      </c:layout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3441C-87CC-4424-AF9D-E6F2BE22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29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26</cp:revision>
  <dcterms:created xsi:type="dcterms:W3CDTF">2011-11-07T11:22:00Z</dcterms:created>
  <dcterms:modified xsi:type="dcterms:W3CDTF">2011-11-08T09:31:00Z</dcterms:modified>
</cp:coreProperties>
</file>